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21D" w14:textId="4C1F16C5" w:rsidR="00D3224B" w:rsidRDefault="00B249B2" w:rsidP="00724634">
      <w:pPr>
        <w:pStyle w:val="Heading1"/>
        <w:spacing w:before="0" w:after="0" w:line="240" w:lineRule="auto"/>
      </w:pPr>
      <w:hyperlink r:id="rId5" w:history="1">
        <w:r w:rsidRPr="000159ED">
          <w:rPr>
            <w:rStyle w:val="Hyperlink"/>
            <w:rFonts w:hint="eastAsia"/>
            <w:color w:val="000000" w:themeColor="text1"/>
            <w:sz w:val="24"/>
            <w:szCs w:val="24"/>
            <w:u w:val="none"/>
            <w:lang w:eastAsia="zh-CN"/>
          </w:rPr>
          <w:t>1. I</w:t>
        </w:r>
        <w:r w:rsidR="00C23098" w:rsidRPr="000159ED">
          <w:rPr>
            <w:rStyle w:val="Hyperlink"/>
            <w:color w:val="000000" w:themeColor="text1"/>
            <w:sz w:val="24"/>
            <w:szCs w:val="24"/>
            <w:u w:val="none"/>
          </w:rPr>
          <w:t>NDUSTRIAL MODULARIZATION: HOW TO OPTIMIZE, HOW TO MAXIMIZE (R</w:t>
        </w:r>
        <w:r w:rsidR="00FC4779" w:rsidRPr="000159ED">
          <w:rPr>
            <w:rStyle w:val="Hyperlink"/>
            <w:rFonts w:hint="eastAsia"/>
            <w:color w:val="000000" w:themeColor="text1"/>
            <w:sz w:val="24"/>
            <w:szCs w:val="24"/>
            <w:u w:val="none"/>
            <w:lang w:eastAsia="zh-CN"/>
          </w:rPr>
          <w:t>S</w:t>
        </w:r>
        <w:r w:rsidR="00C23098" w:rsidRPr="000159ED">
          <w:rPr>
            <w:rStyle w:val="Hyperlink"/>
            <w:color w:val="000000" w:themeColor="text1"/>
            <w:sz w:val="24"/>
            <w:szCs w:val="24"/>
            <w:u w:val="none"/>
          </w:rPr>
          <w:t>283</w:t>
        </w:r>
        <w:r w:rsidR="00FC4779" w:rsidRPr="000159ED">
          <w:rPr>
            <w:rStyle w:val="Hyperlink"/>
            <w:rFonts w:hint="eastAsia"/>
            <w:color w:val="000000" w:themeColor="text1"/>
            <w:sz w:val="24"/>
            <w:szCs w:val="24"/>
            <w:u w:val="none"/>
            <w:lang w:eastAsia="zh-CN"/>
          </w:rPr>
          <w:t>-1</w:t>
        </w:r>
        <w:r w:rsidR="00C23098" w:rsidRPr="000159ED">
          <w:rPr>
            <w:rStyle w:val="Hyperlink"/>
            <w:color w:val="000000" w:themeColor="text1"/>
            <w:sz w:val="24"/>
            <w:szCs w:val="24"/>
            <w:u w:val="none"/>
          </w:rPr>
          <w:t>)</w:t>
        </w:r>
      </w:hyperlink>
    </w:p>
    <w:p w14:paraId="2B9F7A1F" w14:textId="77777777" w:rsidR="005565DC" w:rsidRPr="005565DC" w:rsidRDefault="005565DC" w:rsidP="00724634">
      <w:pPr>
        <w:spacing w:after="0" w:line="240" w:lineRule="auto"/>
      </w:pPr>
    </w:p>
    <w:p w14:paraId="2BB4E344" w14:textId="7990ADAA" w:rsidR="005565DC" w:rsidRPr="005565DC" w:rsidRDefault="005565DC" w:rsidP="00724634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Pr="005565DC">
        <w:rPr>
          <w:sz w:val="24"/>
          <w:szCs w:val="24"/>
          <w:lang w:eastAsia="zh-CN"/>
        </w:rPr>
        <w:t>This study compared an idealized all-modular work process for industrial projects with current, largely stick-built work processes and identified key high-value practices that are in need of change. The findings led to the development of the Industrial Modularization: Five Solutions Elements tool (</w:t>
      </w:r>
      <w:hyperlink r:id="rId6" w:history="1">
        <w:r w:rsidRPr="00377D8B">
          <w:rPr>
            <w:rStyle w:val="Hyperlink"/>
            <w:rFonts w:cs="Times New Roman"/>
            <w:sz w:val="24"/>
            <w:szCs w:val="24"/>
          </w:rPr>
          <w:t>IR283-2</w:t>
        </w:r>
      </w:hyperlink>
      <w:r w:rsidRPr="005565DC">
        <w:rPr>
          <w:sz w:val="24"/>
          <w:szCs w:val="24"/>
          <w:lang w:eastAsia="zh-CN"/>
        </w:rPr>
        <w:t>), which consists of the following five distinct elements that industry leaders and project managers should consider carefully to achieve higher levels of modularization:</w:t>
      </w:r>
    </w:p>
    <w:p w14:paraId="14A8650E" w14:textId="2A6BA467" w:rsidR="005565DC" w:rsidRPr="005565DC" w:rsidRDefault="005565DC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565DC">
        <w:rPr>
          <w:rFonts w:cs="Times New Roman"/>
          <w:color w:val="000000" w:themeColor="text1"/>
          <w:sz w:val="24"/>
          <w:szCs w:val="24"/>
        </w:rPr>
        <w:t xml:space="preserve">A business case process </w:t>
      </w:r>
    </w:p>
    <w:p w14:paraId="1B3982A9" w14:textId="44FA39FB" w:rsidR="005565DC" w:rsidRPr="005565DC" w:rsidRDefault="005565DC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565DC">
        <w:rPr>
          <w:rFonts w:cs="Times New Roman"/>
          <w:color w:val="000000" w:themeColor="text1"/>
          <w:sz w:val="24"/>
          <w:szCs w:val="24"/>
        </w:rPr>
        <w:t xml:space="preserve">Execution plan differences </w:t>
      </w:r>
    </w:p>
    <w:p w14:paraId="08564632" w14:textId="4E8F1CD0" w:rsidR="005565DC" w:rsidRPr="005565DC" w:rsidRDefault="005565DC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565DC">
        <w:rPr>
          <w:rFonts w:cs="Times New Roman"/>
          <w:color w:val="000000" w:themeColor="text1"/>
          <w:sz w:val="24"/>
          <w:szCs w:val="24"/>
        </w:rPr>
        <w:t>Critical success factors</w:t>
      </w:r>
    </w:p>
    <w:p w14:paraId="70CF9380" w14:textId="63512E1A" w:rsidR="005565DC" w:rsidRPr="005565DC" w:rsidRDefault="005565DC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565DC">
        <w:rPr>
          <w:rFonts w:cs="Times New Roman"/>
          <w:color w:val="000000" w:themeColor="text1"/>
          <w:sz w:val="24"/>
          <w:szCs w:val="24"/>
        </w:rPr>
        <w:t>A standardization strategy</w:t>
      </w:r>
    </w:p>
    <w:p w14:paraId="59FCC53E" w14:textId="3C6293C8" w:rsidR="005565DC" w:rsidRPr="005565DC" w:rsidRDefault="005565DC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565DC">
        <w:rPr>
          <w:rFonts w:cs="Times New Roman"/>
          <w:color w:val="000000" w:themeColor="text1"/>
          <w:sz w:val="24"/>
          <w:szCs w:val="24"/>
        </w:rPr>
        <w:t>Modularization maximization enablers</w:t>
      </w:r>
    </w:p>
    <w:p w14:paraId="5127B13E" w14:textId="77777777" w:rsidR="005565DC" w:rsidRDefault="005565DC" w:rsidP="00724634">
      <w:pPr>
        <w:pStyle w:val="NoSpacing"/>
        <w:jc w:val="both"/>
        <w:rPr>
          <w:sz w:val="24"/>
          <w:szCs w:val="24"/>
          <w:lang w:eastAsia="zh-CN"/>
        </w:rPr>
      </w:pPr>
    </w:p>
    <w:p w14:paraId="7AC76991" w14:textId="77777777" w:rsidR="005565DC" w:rsidRPr="00F33C36" w:rsidRDefault="005565DC" w:rsidP="00724634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1941AB03" w14:textId="77777777" w:rsidR="003825AF" w:rsidRDefault="00C23098" w:rsidP="00724634">
      <w:pPr>
        <w:pStyle w:val="Heading2"/>
        <w:spacing w:before="0" w:after="0" w:line="240" w:lineRule="auto"/>
      </w:pPr>
      <w:r>
        <w:t>(1) A</w:t>
      </w:r>
      <w:r w:rsidR="009E5D82" w:rsidRPr="00C23098">
        <w:t>pply a modularization business case process at the earliest opportunity</w:t>
      </w:r>
      <w:r w:rsidR="003A6D90">
        <w:t xml:space="preserve"> in the project</w:t>
      </w:r>
      <w:r w:rsidR="009E5D82" w:rsidRPr="00C23098">
        <w:t>.</w:t>
      </w:r>
    </w:p>
    <w:p w14:paraId="0D94ACD9" w14:textId="530B163D" w:rsidR="00830C78" w:rsidRPr="00C23098" w:rsidRDefault="001F6ECD" w:rsidP="003825AF">
      <w:pPr>
        <w:pStyle w:val="Heading2"/>
        <w:spacing w:before="0" w:after="0" w:line="240" w:lineRule="auto"/>
        <w:ind w:firstLine="360"/>
      </w:pPr>
      <w:r w:rsidRPr="00C23098">
        <w:t xml:space="preserve">(Project Phase: </w:t>
      </w:r>
      <w:r w:rsidR="00C23098">
        <w:t>Pre</w:t>
      </w:r>
      <w:r w:rsidR="00D56720">
        <w:rPr>
          <w:lang w:eastAsia="zh-CN"/>
        </w:rPr>
        <w:t>f</w:t>
      </w:r>
      <w:r w:rsidR="00C23098">
        <w:t>easibility</w:t>
      </w:r>
      <w:r w:rsidR="00F20578" w:rsidRPr="00C23098">
        <w:t xml:space="preserve"> </w:t>
      </w:r>
      <w:r w:rsidR="00DA085F" w:rsidRPr="00C23098">
        <w:t xml:space="preserve">through </w:t>
      </w:r>
      <w:r w:rsidR="009E5D82" w:rsidRPr="00C23098">
        <w:t>Detailed Design and Procurement</w:t>
      </w:r>
      <w:r w:rsidRPr="00C23098">
        <w:t>)</w:t>
      </w:r>
    </w:p>
    <w:p w14:paraId="4F969D46" w14:textId="5C23F1B7" w:rsidR="006A4EAC" w:rsidRDefault="006A4EAC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Adopt the modularization business case process presented in </w:t>
      </w:r>
      <w:hyperlink r:id="rId7" w:history="1">
        <w:r w:rsidRPr="00377D8B">
          <w:rPr>
            <w:rStyle w:val="Hyperlink"/>
            <w:rFonts w:cs="Times New Roman"/>
            <w:sz w:val="24"/>
            <w:szCs w:val="24"/>
          </w:rPr>
          <w:t>IR283-2</w:t>
        </w:r>
      </w:hyperlink>
      <w:r w:rsidRPr="00C23098">
        <w:rPr>
          <w:rFonts w:cs="Times New Roman"/>
          <w:color w:val="000000" w:themeColor="text1"/>
          <w:sz w:val="24"/>
          <w:szCs w:val="24"/>
        </w:rPr>
        <w:t xml:space="preserve"> as standard procedure</w:t>
      </w:r>
      <w:r w:rsidR="00C23098">
        <w:rPr>
          <w:rFonts w:cs="Times New Roman"/>
          <w:color w:val="000000" w:themeColor="text1"/>
          <w:sz w:val="24"/>
          <w:szCs w:val="24"/>
        </w:rPr>
        <w:t>.</w:t>
      </w:r>
    </w:p>
    <w:p w14:paraId="2E015E55" w14:textId="77777777" w:rsidR="00C23098" w:rsidRPr="00C23098" w:rsidRDefault="00C23098" w:rsidP="00724634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2E0BCD07" w14:textId="77777777" w:rsidR="003825AF" w:rsidRDefault="00C23098" w:rsidP="00724634">
      <w:pPr>
        <w:pStyle w:val="Heading2"/>
        <w:spacing w:before="0" w:after="0" w:line="240" w:lineRule="auto"/>
      </w:pPr>
      <w:r>
        <w:t>(2) I</w:t>
      </w:r>
      <w:r w:rsidR="003030BA" w:rsidRPr="00C23098">
        <w:t xml:space="preserve">dentify planning and execution differences </w:t>
      </w:r>
      <w:r>
        <w:t>between</w:t>
      </w:r>
      <w:r w:rsidR="003030BA" w:rsidRPr="00C23098">
        <w:t xml:space="preserve"> modular and stick-built projects.</w:t>
      </w:r>
    </w:p>
    <w:p w14:paraId="21A6095E" w14:textId="0487C877" w:rsidR="00830C78" w:rsidRPr="00C23098" w:rsidRDefault="00DA085F" w:rsidP="003825AF">
      <w:pPr>
        <w:pStyle w:val="Heading2"/>
        <w:spacing w:before="0" w:after="0" w:line="240" w:lineRule="auto"/>
        <w:ind w:firstLine="360"/>
      </w:pPr>
      <w:r w:rsidRPr="00C23098">
        <w:t>(</w:t>
      </w:r>
      <w:r w:rsidR="00E35FCD" w:rsidRPr="00C23098">
        <w:t xml:space="preserve">Project Phase: </w:t>
      </w:r>
      <w:r w:rsidR="00C23098">
        <w:t>Pre</w:t>
      </w:r>
      <w:r w:rsidR="00D56720">
        <w:rPr>
          <w:lang w:eastAsia="zh-CN"/>
        </w:rPr>
        <w:t>f</w:t>
      </w:r>
      <w:r w:rsidR="00C23098">
        <w:t>easibility</w:t>
      </w:r>
      <w:r w:rsidR="00E35FCD" w:rsidRPr="00C23098">
        <w:t xml:space="preserve"> through Detailed Design and Procurement</w:t>
      </w:r>
      <w:r w:rsidRPr="00C23098">
        <w:t>)</w:t>
      </w:r>
    </w:p>
    <w:p w14:paraId="18953F4C" w14:textId="6B70D035" w:rsidR="002E33B3" w:rsidRPr="00C23098" w:rsidRDefault="002E33B3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Review and </w:t>
      </w:r>
      <w:r w:rsidRPr="007E7A78">
        <w:rPr>
          <w:rFonts w:cs="Times New Roman"/>
          <w:sz w:val="24"/>
          <w:szCs w:val="24"/>
        </w:rPr>
        <w:t>address planning</w:t>
      </w:r>
      <w:r w:rsidR="00F31690">
        <w:rPr>
          <w:rFonts w:cs="Times New Roman"/>
          <w:sz w:val="24"/>
          <w:szCs w:val="24"/>
        </w:rPr>
        <w:t xml:space="preserve"> and execution</w:t>
      </w:r>
      <w:r w:rsidRPr="007E7A78">
        <w:rPr>
          <w:rFonts w:cs="Times New Roman"/>
          <w:sz w:val="24"/>
          <w:szCs w:val="24"/>
        </w:rPr>
        <w:t xml:space="preserve"> differences </w:t>
      </w:r>
      <w:r w:rsidR="00F31690">
        <w:rPr>
          <w:rFonts w:cs="Times New Roman"/>
          <w:sz w:val="24"/>
          <w:szCs w:val="24"/>
        </w:rPr>
        <w:t xml:space="preserve">between modular and stick-built projects </w:t>
      </w:r>
      <w:r w:rsidR="001052C0">
        <w:rPr>
          <w:rFonts w:cs="Times New Roman"/>
          <w:sz w:val="24"/>
          <w:szCs w:val="24"/>
        </w:rPr>
        <w:t>according to</w:t>
      </w:r>
      <w:r w:rsidRPr="007E7A78">
        <w:rPr>
          <w:rFonts w:cs="Times New Roman"/>
          <w:sz w:val="24"/>
          <w:szCs w:val="24"/>
        </w:rPr>
        <w:t xml:space="preserve"> project phase-oriented planning topics</w:t>
      </w:r>
      <w:r w:rsidR="003D2826">
        <w:rPr>
          <w:rFonts w:cs="Times New Roman"/>
          <w:sz w:val="24"/>
          <w:szCs w:val="24"/>
        </w:rPr>
        <w:t xml:space="preserve">, including </w:t>
      </w:r>
      <w:r w:rsidRPr="007E7A78">
        <w:rPr>
          <w:rFonts w:cs="Times New Roman"/>
          <w:sz w:val="24"/>
          <w:szCs w:val="24"/>
        </w:rPr>
        <w:t xml:space="preserve">Selection, Basic Design, and </w:t>
      </w:r>
      <w:r w:rsidR="007E7A78" w:rsidRPr="007E7A78">
        <w:rPr>
          <w:rStyle w:val="Emphasis"/>
          <w:rFonts w:cs="Times New Roman"/>
          <w:i w:val="0"/>
          <w:iCs w:val="0"/>
          <w:sz w:val="24"/>
          <w:szCs w:val="24"/>
          <w:shd w:val="clear" w:color="auto" w:fill="FFFFFF"/>
        </w:rPr>
        <w:t>Engineering, Procurement, and Constructio</w:t>
      </w:r>
      <w:r w:rsidR="007E7A78">
        <w:rPr>
          <w:rStyle w:val="Emphasis"/>
          <w:rFonts w:cs="Times New Roman"/>
          <w:i w:val="0"/>
          <w:iCs w:val="0"/>
          <w:sz w:val="24"/>
          <w:szCs w:val="24"/>
          <w:shd w:val="clear" w:color="auto" w:fill="FFFFFF"/>
        </w:rPr>
        <w:t>n</w:t>
      </w:r>
      <w:r w:rsidR="003D2826">
        <w:rPr>
          <w:rStyle w:val="Emphasis"/>
          <w:rFonts w:cs="Times New Roman"/>
          <w:i w:val="0"/>
          <w:iCs w:val="0"/>
          <w:sz w:val="24"/>
          <w:szCs w:val="24"/>
          <w:shd w:val="clear" w:color="auto" w:fill="FFFFFF"/>
        </w:rPr>
        <w:t xml:space="preserve"> (EPC</w:t>
      </w:r>
      <w:r w:rsidRPr="007E7A78">
        <w:rPr>
          <w:rFonts w:cs="Times New Roman"/>
          <w:sz w:val="24"/>
          <w:szCs w:val="24"/>
        </w:rPr>
        <w:t>)</w:t>
      </w:r>
      <w:r w:rsidR="002111E3">
        <w:rPr>
          <w:rFonts w:cs="Times New Roman"/>
          <w:sz w:val="24"/>
          <w:szCs w:val="24"/>
        </w:rPr>
        <w:t>. Refer to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377D8B" w:rsidRPr="00377D8B">
          <w:rPr>
            <w:rStyle w:val="Hyperlink"/>
            <w:rFonts w:cs="Times New Roman"/>
            <w:sz w:val="24"/>
            <w:szCs w:val="24"/>
          </w:rPr>
          <w:t>IR283-2</w:t>
        </w:r>
      </w:hyperlink>
      <w:r w:rsidRPr="00C23098">
        <w:rPr>
          <w:rFonts w:cs="Times New Roman"/>
          <w:color w:val="000000" w:themeColor="text1"/>
          <w:sz w:val="24"/>
          <w:szCs w:val="24"/>
        </w:rPr>
        <w:t xml:space="preserve">. </w:t>
      </w:r>
      <w:r w:rsidR="00F31690">
        <w:rPr>
          <w:rFonts w:cs="Times New Roman"/>
          <w:color w:val="000000" w:themeColor="text1"/>
          <w:sz w:val="24"/>
          <w:szCs w:val="24"/>
        </w:rPr>
        <w:t>I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ncorporate all relevant </w:t>
      </w:r>
      <w:r w:rsidRPr="00EB6109">
        <w:rPr>
          <w:rFonts w:cs="Times New Roman"/>
          <w:color w:val="000000" w:themeColor="text1"/>
          <w:sz w:val="24"/>
          <w:szCs w:val="24"/>
        </w:rPr>
        <w:t xml:space="preserve">differences into </w:t>
      </w:r>
      <w:r w:rsidR="00227B8C" w:rsidRPr="00EB6109">
        <w:rPr>
          <w:rFonts w:cs="Times New Roman"/>
          <w:color w:val="000000" w:themeColor="text1"/>
          <w:sz w:val="24"/>
          <w:szCs w:val="24"/>
        </w:rPr>
        <w:t xml:space="preserve">the </w:t>
      </w:r>
      <w:r w:rsidR="00EB6109" w:rsidRPr="00EB6109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modular </w:t>
      </w:r>
      <w:r w:rsidR="00227B8C" w:rsidRPr="00EB6109">
        <w:rPr>
          <w:rFonts w:cs="Times New Roman"/>
          <w:color w:val="000000" w:themeColor="text1"/>
          <w:sz w:val="24"/>
          <w:szCs w:val="24"/>
        </w:rPr>
        <w:t>project</w:t>
      </w:r>
      <w:r w:rsidRPr="00EB6109">
        <w:rPr>
          <w:rFonts w:cs="Times New Roman"/>
          <w:color w:val="000000" w:themeColor="text1"/>
          <w:sz w:val="24"/>
          <w:szCs w:val="24"/>
        </w:rPr>
        <w:t xml:space="preserve"> execution plan.</w:t>
      </w:r>
    </w:p>
    <w:p w14:paraId="6FC61505" w14:textId="68432081" w:rsidR="004132AC" w:rsidRPr="00C23098" w:rsidRDefault="004132AC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Review </w:t>
      </w:r>
      <w:r w:rsidR="003D2826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execution plan to ensure </w:t>
      </w:r>
      <w:r w:rsidR="00F31690">
        <w:rPr>
          <w:rFonts w:cs="Times New Roman"/>
          <w:color w:val="000000" w:themeColor="text1"/>
          <w:sz w:val="24"/>
          <w:szCs w:val="24"/>
        </w:rPr>
        <w:t>that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="003D2826">
        <w:rPr>
          <w:rFonts w:cs="Times New Roman"/>
          <w:color w:val="000000" w:themeColor="text1"/>
          <w:sz w:val="24"/>
          <w:szCs w:val="24"/>
        </w:rPr>
        <w:t xml:space="preserve">the </w:t>
      </w:r>
      <w:r w:rsidR="003D2826" w:rsidRPr="00C23098">
        <w:rPr>
          <w:rFonts w:cs="Times New Roman"/>
          <w:color w:val="000000" w:themeColor="text1"/>
          <w:sz w:val="24"/>
          <w:szCs w:val="24"/>
        </w:rPr>
        <w:t>Selection</w:t>
      </w:r>
      <w:r w:rsidRPr="00C23098">
        <w:rPr>
          <w:rFonts w:cs="Times New Roman"/>
          <w:color w:val="000000" w:themeColor="text1"/>
          <w:sz w:val="24"/>
          <w:szCs w:val="24"/>
        </w:rPr>
        <w:t>, EPC, and other relevant phases</w:t>
      </w:r>
      <w:r w:rsidR="00F31690">
        <w:rPr>
          <w:rFonts w:cs="Times New Roman"/>
          <w:color w:val="000000" w:themeColor="text1"/>
          <w:sz w:val="24"/>
          <w:szCs w:val="24"/>
        </w:rPr>
        <w:t xml:space="preserve"> are taken into account</w:t>
      </w:r>
      <w:r w:rsidR="00EB6109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for a modular project</w:t>
      </w:r>
      <w:r w:rsidRPr="00C23098">
        <w:rPr>
          <w:rFonts w:cs="Times New Roman"/>
          <w:color w:val="000000" w:themeColor="text1"/>
          <w:sz w:val="24"/>
          <w:szCs w:val="24"/>
        </w:rPr>
        <w:t>.</w:t>
      </w:r>
    </w:p>
    <w:p w14:paraId="0920ADFB" w14:textId="77777777" w:rsidR="009A717B" w:rsidRPr="00C23098" w:rsidRDefault="009A717B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Factor in early estimates of module envelope sizes and weights as inputs for fabrication and transportation planning.</w:t>
      </w:r>
    </w:p>
    <w:p w14:paraId="46D5C693" w14:textId="644C8967" w:rsidR="009A717B" w:rsidRPr="00C23098" w:rsidRDefault="009A717B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Address differences </w:t>
      </w:r>
      <w:r w:rsidR="002111E3">
        <w:rPr>
          <w:rFonts w:cs="Times New Roman"/>
          <w:color w:val="000000" w:themeColor="text1"/>
          <w:sz w:val="24"/>
          <w:szCs w:val="24"/>
        </w:rPr>
        <w:t xml:space="preserve">between modular and stick-built projects </w:t>
      </w:r>
      <w:r w:rsidRPr="00C23098">
        <w:rPr>
          <w:rFonts w:cs="Times New Roman"/>
          <w:color w:val="000000" w:themeColor="text1"/>
          <w:sz w:val="24"/>
          <w:szCs w:val="24"/>
        </w:rPr>
        <w:t>in four critical areas: planning and cost estimating, scoping, basic design standards, and detailed design deliverables.</w:t>
      </w:r>
    </w:p>
    <w:p w14:paraId="592EBE00" w14:textId="28C788FB" w:rsidR="00E35FCD" w:rsidRDefault="00E35FCD" w:rsidP="00724634">
      <w:pPr>
        <w:pStyle w:val="ListParagraph"/>
        <w:numPr>
          <w:ilvl w:val="0"/>
          <w:numId w:val="3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Apply these execution plan differences to ensure comprehensive </w:t>
      </w:r>
      <w:r w:rsidR="00EB6109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modular </w:t>
      </w:r>
      <w:r w:rsidRPr="00C23098">
        <w:rPr>
          <w:rFonts w:cs="Times New Roman"/>
          <w:color w:val="000000" w:themeColor="text1"/>
          <w:sz w:val="24"/>
          <w:szCs w:val="24"/>
        </w:rPr>
        <w:t>project preparation.</w:t>
      </w:r>
    </w:p>
    <w:p w14:paraId="2ED7EC9A" w14:textId="77777777" w:rsidR="00C23098" w:rsidRPr="00C23098" w:rsidRDefault="00C23098" w:rsidP="00724634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198095B6" w14:textId="77777777" w:rsidR="003825AF" w:rsidRDefault="00C23098" w:rsidP="00724634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(3) I</w:t>
      </w:r>
      <w:r w:rsidR="009A105D" w:rsidRPr="00C23098">
        <w:rPr>
          <w:color w:val="auto"/>
        </w:rPr>
        <w:t xml:space="preserve">dentify critical success factors (CSFs) and incorporate enablers into </w:t>
      </w:r>
      <w:r w:rsidR="003D2826">
        <w:rPr>
          <w:color w:val="auto"/>
        </w:rPr>
        <w:t xml:space="preserve">the </w:t>
      </w:r>
      <w:r w:rsidR="009A105D" w:rsidRPr="00C23098">
        <w:rPr>
          <w:color w:val="auto"/>
        </w:rPr>
        <w:t>planning and execution</w:t>
      </w:r>
      <w:r w:rsidR="003D2826">
        <w:rPr>
          <w:color w:val="auto"/>
        </w:rPr>
        <w:t xml:space="preserve"> stages</w:t>
      </w:r>
      <w:r w:rsidR="009A105D" w:rsidRPr="00C23098">
        <w:rPr>
          <w:color w:val="auto"/>
        </w:rPr>
        <w:t>.</w:t>
      </w:r>
    </w:p>
    <w:p w14:paraId="7DB34570" w14:textId="04DB4899" w:rsidR="00D805A5" w:rsidRPr="003825AF" w:rsidRDefault="00DA085F" w:rsidP="003825AF">
      <w:pPr>
        <w:pStyle w:val="Heading2"/>
        <w:spacing w:before="0" w:after="0" w:line="240" w:lineRule="auto"/>
        <w:ind w:firstLine="360"/>
        <w:rPr>
          <w:color w:val="auto"/>
        </w:rPr>
      </w:pPr>
      <w:r w:rsidRPr="00C23098">
        <w:t xml:space="preserve">(Project Phase: </w:t>
      </w:r>
      <w:r w:rsidR="00C23098">
        <w:t>Pre</w:t>
      </w:r>
      <w:r w:rsidR="00D56720">
        <w:rPr>
          <w:lang w:eastAsia="zh-CN"/>
        </w:rPr>
        <w:t>f</w:t>
      </w:r>
      <w:r w:rsidR="00C23098">
        <w:t>easibility</w:t>
      </w:r>
      <w:r w:rsidRPr="00C23098">
        <w:t xml:space="preserve"> through </w:t>
      </w:r>
      <w:r w:rsidR="00404089" w:rsidRPr="00C23098">
        <w:t>Construction</w:t>
      </w:r>
      <w:r w:rsidRPr="00C23098">
        <w:t>)</w:t>
      </w:r>
    </w:p>
    <w:p w14:paraId="14A024C4" w14:textId="136317BC" w:rsidR="00711B57" w:rsidRPr="00C23098" w:rsidRDefault="00711B57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Review the 21 criti</w:t>
      </w:r>
      <w:r w:rsidR="003D2826">
        <w:rPr>
          <w:rFonts w:cs="Times New Roman"/>
          <w:color w:val="000000" w:themeColor="text1"/>
          <w:sz w:val="24"/>
          <w:szCs w:val="24"/>
        </w:rPr>
        <w:t>c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al success factors </w:t>
      </w:r>
      <w:r w:rsidR="00883F9A">
        <w:rPr>
          <w:rFonts w:cs="Times New Roman"/>
          <w:color w:val="000000" w:themeColor="text1"/>
          <w:sz w:val="24"/>
          <w:szCs w:val="24"/>
        </w:rPr>
        <w:t xml:space="preserve">found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in </w:t>
      </w:r>
      <w:hyperlink r:id="rId9" w:history="1">
        <w:r w:rsidR="00163315" w:rsidRPr="00377D8B">
          <w:rPr>
            <w:rStyle w:val="Hyperlink"/>
            <w:rFonts w:cs="Times New Roman"/>
            <w:sz w:val="24"/>
            <w:szCs w:val="24"/>
          </w:rPr>
          <w:t>IR283-2</w:t>
        </w:r>
      </w:hyperlink>
      <w:r w:rsidRPr="00C23098">
        <w:rPr>
          <w:rFonts w:cs="Times New Roman"/>
          <w:color w:val="000000" w:themeColor="text1"/>
          <w:sz w:val="24"/>
          <w:szCs w:val="24"/>
        </w:rPr>
        <w:t>, which</w:t>
      </w:r>
      <w:r w:rsidR="00883F9A">
        <w:rPr>
          <w:rFonts w:cs="Times New Roman"/>
          <w:color w:val="000000" w:themeColor="text1"/>
          <w:sz w:val="24"/>
          <w:szCs w:val="24"/>
        </w:rPr>
        <w:t xml:space="preserve"> also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includes information </w:t>
      </w:r>
      <w:r w:rsidR="00212FEC">
        <w:rPr>
          <w:rFonts w:cs="Times New Roman"/>
          <w:color w:val="000000" w:themeColor="text1"/>
          <w:sz w:val="24"/>
          <w:szCs w:val="24"/>
        </w:rPr>
        <w:t>regarding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enablers, optimal timing </w:t>
      </w:r>
      <w:r w:rsidR="00212FEC">
        <w:rPr>
          <w:rFonts w:cs="Times New Roman"/>
          <w:color w:val="000000" w:themeColor="text1"/>
          <w:sz w:val="24"/>
          <w:szCs w:val="24"/>
        </w:rPr>
        <w:t xml:space="preserve">for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implementation, </w:t>
      </w:r>
      <w:r w:rsidRPr="00D605CF">
        <w:rPr>
          <w:rFonts w:cs="Times New Roman"/>
          <w:color w:val="000000" w:themeColor="text1"/>
          <w:sz w:val="24"/>
          <w:szCs w:val="24"/>
        </w:rPr>
        <w:t xml:space="preserve">and </w:t>
      </w:r>
      <w:r w:rsidR="00EB6109" w:rsidRPr="00D605CF">
        <w:rPr>
          <w:rFonts w:cs="Times New Roman" w:hint="eastAsia"/>
          <w:color w:val="000000" w:themeColor="text1"/>
          <w:sz w:val="24"/>
          <w:szCs w:val="24"/>
          <w:lang w:eastAsia="zh-CN"/>
        </w:rPr>
        <w:t>different coordinators</w:t>
      </w:r>
      <w:r w:rsidR="00EB6109" w:rsidRPr="00D605CF">
        <w:rPr>
          <w:rFonts w:cs="Times New Roman"/>
          <w:color w:val="000000" w:themeColor="text1"/>
          <w:sz w:val="24"/>
          <w:szCs w:val="24"/>
          <w:lang w:eastAsia="zh-CN"/>
        </w:rPr>
        <w:t>’</w:t>
      </w:r>
      <w:r w:rsidRPr="00D605CF">
        <w:rPr>
          <w:rFonts w:cs="Times New Roman"/>
          <w:color w:val="000000" w:themeColor="text1"/>
          <w:sz w:val="24"/>
          <w:szCs w:val="24"/>
        </w:rPr>
        <w:t xml:space="preserve"> </w:t>
      </w:r>
      <w:r w:rsidR="00D605CF">
        <w:rPr>
          <w:rFonts w:cs="Times New Roman"/>
          <w:color w:val="000000" w:themeColor="text1"/>
          <w:sz w:val="24"/>
          <w:szCs w:val="24"/>
        </w:rPr>
        <w:t>responsibilities</w:t>
      </w:r>
      <w:r w:rsidR="00B77CDD" w:rsidRPr="00D605CF">
        <w:rPr>
          <w:rFonts w:cs="Times New Roman"/>
          <w:color w:val="000000" w:themeColor="text1"/>
          <w:sz w:val="24"/>
          <w:szCs w:val="24"/>
        </w:rPr>
        <w:t>.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4696BFD1" w14:textId="7CA2F818" w:rsidR="00F95E5F" w:rsidRPr="000159ED" w:rsidRDefault="00F95E5F" w:rsidP="00724634">
      <w:pPr>
        <w:pStyle w:val="ListParagraph"/>
        <w:numPr>
          <w:ilvl w:val="0"/>
          <w:numId w:val="3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0159ED">
        <w:rPr>
          <w:rFonts w:cs="Times New Roman"/>
          <w:color w:val="000000" w:themeColor="text1"/>
          <w:sz w:val="24"/>
          <w:szCs w:val="24"/>
        </w:rPr>
        <w:t>Special attention should be given to CSFs that are difficult to achieve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including</w:t>
      </w:r>
      <w:r w:rsidR="00272C4C" w:rsidRPr="000159ED">
        <w:rPr>
          <w:rFonts w:cs="Times New Roman"/>
          <w:color w:val="000000" w:themeColor="text1"/>
          <w:sz w:val="24"/>
          <w:szCs w:val="24"/>
        </w:rPr>
        <w:t xml:space="preserve"> the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owner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’</w:t>
      </w:r>
      <w:r w:rsidRPr="000159ED">
        <w:rPr>
          <w:rFonts w:cs="Times New Roman"/>
          <w:color w:val="000000" w:themeColor="text1"/>
          <w:sz w:val="24"/>
          <w:szCs w:val="24"/>
        </w:rPr>
        <w:t>s planning resources and processes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 a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timely design freeze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early completion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cost savings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contractor leadership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investment in studies</w:t>
      </w:r>
      <w:r w:rsidR="000159ED" w:rsidRPr="000159ED">
        <w:rPr>
          <w:rFonts w:cs="Times New Roman"/>
          <w:color w:val="000000" w:themeColor="text1"/>
          <w:sz w:val="24"/>
          <w:szCs w:val="24"/>
        </w:rPr>
        <w:t xml:space="preserve"> into modularization</w:t>
      </w:r>
      <w:r w:rsidR="000159ED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 w:rsidR="000159ED" w:rsidRPr="000159ED">
        <w:rPr>
          <w:rFonts w:cs="Times New Roman"/>
          <w:color w:val="000000" w:themeColor="text1"/>
          <w:sz w:val="24"/>
          <w:szCs w:val="24"/>
        </w:rPr>
        <w:t>opportunities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</w:t>
      </w:r>
      <w:r w:rsidRPr="000159ED">
        <w:rPr>
          <w:rFonts w:cs="Times New Roman"/>
          <w:color w:val="000000" w:themeColor="text1"/>
          <w:sz w:val="24"/>
          <w:szCs w:val="24"/>
        </w:rPr>
        <w:lastRenderedPageBreak/>
        <w:t>vendor involvement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owner delay avoidance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data for optimization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, and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transport delay avoidance</w:t>
      </w:r>
      <w:r w:rsidR="00272C4C" w:rsidRPr="000159ED">
        <w:rPr>
          <w:rFonts w:cs="Times New Roman"/>
          <w:color w:val="000000" w:themeColor="text1"/>
          <w:sz w:val="24"/>
          <w:szCs w:val="24"/>
        </w:rPr>
        <w:t>.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38FC0837" w14:textId="77777777" w:rsidR="00C23098" w:rsidRPr="00C23098" w:rsidRDefault="00C23098" w:rsidP="00724634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4F88145E" w14:textId="77777777" w:rsidR="003825AF" w:rsidRDefault="00C23098" w:rsidP="00724634">
      <w:pPr>
        <w:pStyle w:val="Heading2"/>
        <w:spacing w:before="0" w:after="0" w:line="240" w:lineRule="auto"/>
      </w:pPr>
      <w:r>
        <w:t>(4) D</w:t>
      </w:r>
      <w:r w:rsidR="00CF7E9F" w:rsidRPr="00C23098">
        <w:t xml:space="preserve">evelop a strategy and </w:t>
      </w:r>
      <w:r w:rsidR="00385260">
        <w:t>follow</w:t>
      </w:r>
      <w:r w:rsidR="00CF7E9F" w:rsidRPr="00C23098">
        <w:t xml:space="preserve"> </w:t>
      </w:r>
      <w:r w:rsidR="00A44103">
        <w:t>eight</w:t>
      </w:r>
      <w:r w:rsidR="00385260">
        <w:t xml:space="preserve"> steps</w:t>
      </w:r>
      <w:r w:rsidR="00CF7E9F" w:rsidRPr="00C23098">
        <w:t xml:space="preserve"> t</w:t>
      </w:r>
      <w:r w:rsidR="00385260">
        <w:t>hat</w:t>
      </w:r>
      <w:r w:rsidR="00CF7E9F" w:rsidRPr="00C23098">
        <w:t xml:space="preserve"> effectively integrate design standardization with modularization. </w:t>
      </w:r>
    </w:p>
    <w:p w14:paraId="12B5FEC9" w14:textId="39CCB4F2" w:rsidR="002147F6" w:rsidRPr="00C23098" w:rsidRDefault="00DA085F" w:rsidP="003825AF">
      <w:pPr>
        <w:pStyle w:val="Heading2"/>
        <w:spacing w:before="0" w:after="0" w:line="240" w:lineRule="auto"/>
        <w:ind w:firstLine="360"/>
      </w:pPr>
      <w:r w:rsidRPr="00C23098">
        <w:t>(Project Phase:</w:t>
      </w:r>
      <w:r w:rsidR="00E76D2C" w:rsidRPr="00C23098">
        <w:t xml:space="preserve"> </w:t>
      </w:r>
      <w:r w:rsidR="00C23098">
        <w:t>Pre</w:t>
      </w:r>
      <w:r w:rsidR="00A800BA">
        <w:rPr>
          <w:lang w:eastAsia="zh-CN"/>
        </w:rPr>
        <w:t>f</w:t>
      </w:r>
      <w:r w:rsidR="00C23098">
        <w:t>easibility</w:t>
      </w:r>
      <w:r w:rsidR="00E76D2C" w:rsidRPr="00C23098">
        <w:t xml:space="preserve"> through Detailed Design and Procurement</w:t>
      </w:r>
      <w:r w:rsidRPr="00C23098">
        <w:t>)</w:t>
      </w:r>
    </w:p>
    <w:p w14:paraId="5A4A9DB6" w14:textId="77777777" w:rsidR="00C37B79" w:rsidRPr="00C23098" w:rsidRDefault="00C37B79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Assess market needs, establish objectives, and create an implementation plan for design standardization and modularization integration. </w:t>
      </w:r>
    </w:p>
    <w:p w14:paraId="29EEDF64" w14:textId="77777777" w:rsidR="00C37B79" w:rsidRPr="00C23098" w:rsidRDefault="00C37B79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Create standardized designs for targeted plant types and repeat this step as needed to achieve desired outcomes. </w:t>
      </w:r>
    </w:p>
    <w:p w14:paraId="43760FB6" w14:textId="77777777" w:rsidR="00495AA3" w:rsidRPr="00C23098" w:rsidRDefault="00495AA3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Create the modular standard design(s). </w:t>
      </w:r>
    </w:p>
    <w:p w14:paraId="01D15C63" w14:textId="77777777" w:rsidR="00495AA3" w:rsidRPr="00C23098" w:rsidRDefault="00495AA3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Repeat Steps 2 and 3, as needed. </w:t>
      </w:r>
    </w:p>
    <w:p w14:paraId="7CEEC1A4" w14:textId="77777777" w:rsidR="00495AA3" w:rsidRPr="00C23098" w:rsidRDefault="00495AA3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Firm up agreements with vendors/packagers and involve them in refinements of the modular standard design(s). </w:t>
      </w:r>
    </w:p>
    <w:p w14:paraId="206DA299" w14:textId="20127C89" w:rsidR="00495AA3" w:rsidRPr="00C23098" w:rsidRDefault="00495AA3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Implement </w:t>
      </w:r>
      <w:r w:rsidR="00385260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execution of </w:t>
      </w:r>
      <w:r w:rsidR="005C08B6">
        <w:rPr>
          <w:rFonts w:cs="Times New Roman"/>
          <w:color w:val="000000" w:themeColor="text1"/>
          <w:sz w:val="24"/>
          <w:szCs w:val="24"/>
        </w:rPr>
        <w:t>a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modular standard plant for each client. </w:t>
      </w:r>
    </w:p>
    <w:p w14:paraId="4E209763" w14:textId="1DF8B628" w:rsidR="007E6C4D" w:rsidRPr="00C23098" w:rsidRDefault="007E6C4D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Assess and benchmark key performance indicators </w:t>
      </w:r>
      <w:r w:rsidR="00385260">
        <w:rPr>
          <w:rFonts w:cs="Times New Roman"/>
          <w:color w:val="000000" w:themeColor="text1"/>
          <w:sz w:val="24"/>
          <w:szCs w:val="24"/>
        </w:rPr>
        <w:t>to assess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the effectiveness of the modular standard plant effort. </w:t>
      </w:r>
    </w:p>
    <w:p w14:paraId="5524304E" w14:textId="1924B5A8" w:rsidR="00C23098" w:rsidRDefault="007E6C4D" w:rsidP="00724634">
      <w:pPr>
        <w:pStyle w:val="ListParagraph"/>
        <w:numPr>
          <w:ilvl w:val="0"/>
          <w:numId w:val="3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Learn from modular standard plant projects and update/modify the standard design(s) only after thorough analysis and with confident justification. </w:t>
      </w:r>
    </w:p>
    <w:p w14:paraId="4B2051D2" w14:textId="35749927" w:rsidR="00830C78" w:rsidRPr="00C23098" w:rsidRDefault="00605512" w:rsidP="00724634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ab/>
      </w:r>
      <w:r w:rsidRPr="00C23098">
        <w:rPr>
          <w:rFonts w:cs="Times New Roman"/>
          <w:color w:val="000000" w:themeColor="text1"/>
          <w:sz w:val="24"/>
          <w:szCs w:val="24"/>
        </w:rPr>
        <w:tab/>
      </w:r>
    </w:p>
    <w:p w14:paraId="3C96B292" w14:textId="77777777" w:rsidR="003825AF" w:rsidRDefault="00C23098" w:rsidP="00724634">
      <w:pPr>
        <w:pStyle w:val="Heading2"/>
        <w:spacing w:before="0" w:after="0" w:line="240" w:lineRule="auto"/>
      </w:pPr>
      <w:r>
        <w:t xml:space="preserve">(5) </w:t>
      </w:r>
      <w:r w:rsidRPr="000159ED">
        <w:t>R</w:t>
      </w:r>
      <w:r w:rsidR="00F16FC9" w:rsidRPr="000159ED">
        <w:t xml:space="preserve">eview the </w:t>
      </w:r>
      <w:r w:rsidR="00B407D9" w:rsidRPr="000159ED">
        <w:t>ten</w:t>
      </w:r>
      <w:r w:rsidR="00F16FC9" w:rsidRPr="000159ED">
        <w:t xml:space="preserve"> enablers </w:t>
      </w:r>
      <w:r w:rsidR="00F16FC9" w:rsidRPr="00C23098">
        <w:t>that will help to buoy or elevate levels of modularization across the industry.</w:t>
      </w:r>
    </w:p>
    <w:p w14:paraId="6675ED00" w14:textId="1202AC50" w:rsidR="005205BD" w:rsidRPr="00C23098" w:rsidRDefault="00DA085F" w:rsidP="003825AF">
      <w:pPr>
        <w:pStyle w:val="Heading2"/>
        <w:spacing w:before="0" w:after="0" w:line="240" w:lineRule="auto"/>
        <w:ind w:firstLine="360"/>
      </w:pPr>
      <w:r w:rsidRPr="00C23098">
        <w:t>(Project Phase:</w:t>
      </w:r>
      <w:r w:rsidR="00EC3442" w:rsidRPr="00C23098">
        <w:t xml:space="preserve"> </w:t>
      </w:r>
      <w:r w:rsidR="00C23098">
        <w:t>Pre</w:t>
      </w:r>
      <w:r w:rsidR="00A800BA">
        <w:t>f</w:t>
      </w:r>
      <w:r w:rsidR="00C23098">
        <w:t>easibility</w:t>
      </w:r>
      <w:r w:rsidR="00EC3442" w:rsidRPr="00C23098">
        <w:t xml:space="preserve"> through</w:t>
      </w:r>
      <w:r w:rsidR="00C61007" w:rsidRPr="00C23098">
        <w:t xml:space="preserve"> Construction</w:t>
      </w:r>
      <w:r w:rsidRPr="00C23098">
        <w:t>)</w:t>
      </w:r>
    </w:p>
    <w:p w14:paraId="0227103E" w14:textId="1A588AE0" w:rsidR="00A91581" w:rsidRPr="00C23098" w:rsidRDefault="00A91581" w:rsidP="00724634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Backgrou</w:t>
      </w:r>
      <w:r w:rsidRPr="000159ED">
        <w:rPr>
          <w:rFonts w:cs="Times New Roman"/>
          <w:color w:val="000000" w:themeColor="text1"/>
          <w:sz w:val="24"/>
          <w:szCs w:val="24"/>
        </w:rPr>
        <w:t>nd (</w:t>
      </w:r>
      <w:hyperlink r:id="rId10" w:history="1">
        <w:r w:rsidR="000159ED" w:rsidRPr="000159ED">
          <w:rPr>
            <w:rStyle w:val="Hyperlink"/>
            <w:rFonts w:cs="Times New Roman" w:hint="eastAsia"/>
            <w:sz w:val="24"/>
            <w:szCs w:val="24"/>
            <w:lang w:eastAsia="zh-CN"/>
          </w:rPr>
          <w:t>RS283-1</w:t>
        </w:r>
      </w:hyperlink>
      <w:r w:rsidR="000159ED" w:rsidRPr="000159ED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, </w:t>
      </w:r>
      <w:r w:rsidRPr="000159ED">
        <w:rPr>
          <w:rFonts w:cs="Times New Roman"/>
          <w:color w:val="000000" w:themeColor="text1"/>
          <w:sz w:val="24"/>
          <w:szCs w:val="24"/>
        </w:rPr>
        <w:t>p.</w:t>
      </w:r>
      <w:r w:rsidR="00B91CC2" w:rsidRPr="000159ED">
        <w:rPr>
          <w:rFonts w:cs="Times New Roman"/>
          <w:color w:val="000000" w:themeColor="text1"/>
          <w:sz w:val="24"/>
          <w:szCs w:val="24"/>
        </w:rPr>
        <w:t xml:space="preserve"> 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36): </w:t>
      </w:r>
      <w:r w:rsidR="00C0469B" w:rsidRPr="000159ED">
        <w:rPr>
          <w:rFonts w:cs="Times New Roman"/>
          <w:color w:val="000000" w:themeColor="text1"/>
          <w:sz w:val="24"/>
          <w:szCs w:val="24"/>
        </w:rPr>
        <w:t xml:space="preserve">A 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modularization business case, well-prepared execution plans, attention to </w:t>
      </w:r>
      <w:r w:rsidR="00827B8A" w:rsidRPr="000159ED">
        <w:rPr>
          <w:rFonts w:cs="Times New Roman"/>
          <w:color w:val="000000" w:themeColor="text1"/>
          <w:sz w:val="24"/>
          <w:szCs w:val="24"/>
        </w:rPr>
        <w:t>CSFs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, and use of </w:t>
      </w:r>
      <w:r w:rsidR="00C0469B" w:rsidRPr="000159ED">
        <w:rPr>
          <w:rFonts w:cs="Times New Roman"/>
          <w:color w:val="000000" w:themeColor="text1"/>
          <w:sz w:val="24"/>
          <w:szCs w:val="24"/>
        </w:rPr>
        <w:t>a</w:t>
      </w:r>
      <w:r w:rsidRPr="000159ED">
        <w:rPr>
          <w:rFonts w:cs="Times New Roman"/>
          <w:color w:val="000000" w:themeColor="text1"/>
          <w:sz w:val="24"/>
          <w:szCs w:val="24"/>
        </w:rPr>
        <w:t xml:space="preserve"> standardization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strategy should all facilitate </w:t>
      </w:r>
      <w:r w:rsidR="00C0469B">
        <w:rPr>
          <w:rFonts w:cs="Times New Roman"/>
          <w:color w:val="000000" w:themeColor="text1"/>
          <w:sz w:val="24"/>
          <w:szCs w:val="24"/>
        </w:rPr>
        <w:t>a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more effective modularization</w:t>
      </w:r>
      <w:r w:rsidR="00827B8A">
        <w:rPr>
          <w:rFonts w:cs="Times New Roman"/>
          <w:color w:val="000000" w:themeColor="text1"/>
          <w:sz w:val="24"/>
          <w:szCs w:val="24"/>
        </w:rPr>
        <w:t xml:space="preserve"> process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. However, to truly maximize modularization, leaders must directly </w:t>
      </w:r>
      <w:r w:rsidR="00B91CC2">
        <w:rPr>
          <w:rFonts w:cs="Times New Roman"/>
          <w:color w:val="000000" w:themeColor="text1"/>
          <w:sz w:val="24"/>
          <w:szCs w:val="24"/>
        </w:rPr>
        <w:t xml:space="preserve">address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a variety of industry-wide barriers that can have (and have had) the effect of </w:t>
      </w:r>
      <w:r w:rsidR="00B91CC2">
        <w:rPr>
          <w:rFonts w:cs="Times New Roman"/>
          <w:color w:val="000000" w:themeColor="text1"/>
          <w:sz w:val="24"/>
          <w:szCs w:val="24"/>
        </w:rPr>
        <w:t>creating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a ceiling </w:t>
      </w:r>
      <w:r w:rsidR="00C0469B">
        <w:rPr>
          <w:rFonts w:cs="Times New Roman"/>
          <w:color w:val="000000" w:themeColor="text1"/>
          <w:sz w:val="24"/>
          <w:szCs w:val="24"/>
        </w:rPr>
        <w:t>that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="00827B8A">
        <w:rPr>
          <w:rFonts w:cs="Times New Roman"/>
          <w:color w:val="000000" w:themeColor="text1"/>
          <w:sz w:val="24"/>
          <w:szCs w:val="24"/>
        </w:rPr>
        <w:t xml:space="preserve">restricts </w:t>
      </w:r>
      <w:r w:rsidR="00827B8A" w:rsidRPr="00F23BF1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levels </w:t>
      </w:r>
      <w:r w:rsidR="00827B8A" w:rsidRPr="00F23BF1">
        <w:rPr>
          <w:rFonts w:cs="Times New Roman"/>
          <w:color w:val="000000" w:themeColor="text1"/>
          <w:sz w:val="24"/>
          <w:szCs w:val="24"/>
        </w:rPr>
        <w:t>that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 modularization </w:t>
      </w:r>
      <w:r w:rsidR="00C0469B" w:rsidRPr="00F23BF1">
        <w:rPr>
          <w:rFonts w:cs="Times New Roman"/>
          <w:color w:val="000000" w:themeColor="text1"/>
          <w:sz w:val="24"/>
          <w:szCs w:val="24"/>
        </w:rPr>
        <w:t xml:space="preserve">can 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achieve. </w:t>
      </w:r>
      <w:r w:rsidR="002F0F48" w:rsidRPr="00F23BF1">
        <w:rPr>
          <w:rFonts w:cs="Times New Roman"/>
          <w:color w:val="000000" w:themeColor="text1"/>
          <w:sz w:val="24"/>
          <w:szCs w:val="24"/>
        </w:rPr>
        <w:t>Higher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 levels of modularization will be fully achievable </w:t>
      </w:r>
      <w:r w:rsidR="002F0F48" w:rsidRPr="00F23BF1">
        <w:rPr>
          <w:rFonts w:cs="Times New Roman"/>
          <w:color w:val="000000" w:themeColor="text1"/>
          <w:sz w:val="24"/>
          <w:szCs w:val="24"/>
        </w:rPr>
        <w:t xml:space="preserve">in the future </w:t>
      </w:r>
      <w:r w:rsidR="00C0469B" w:rsidRPr="00F23BF1">
        <w:rPr>
          <w:rFonts w:cs="Times New Roman"/>
          <w:color w:val="000000" w:themeColor="text1"/>
          <w:sz w:val="24"/>
          <w:szCs w:val="24"/>
        </w:rPr>
        <w:t xml:space="preserve">only 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if industry and project conditions and actions are more compatible with, or supportive of, modular approaches. </w:t>
      </w:r>
      <w:r w:rsidR="00BD4ADD" w:rsidRPr="00F23BF1">
        <w:rPr>
          <w:rFonts w:cs="Times New Roman"/>
          <w:color w:val="000000" w:themeColor="text1"/>
          <w:sz w:val="24"/>
          <w:szCs w:val="24"/>
        </w:rPr>
        <w:t>The ten enablers for modularization are as follows:</w:t>
      </w:r>
    </w:p>
    <w:p w14:paraId="4127F429" w14:textId="32075AA8" w:rsidR="00A91581" w:rsidRPr="00C23098" w:rsidRDefault="00A91581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Expand comfort zones: Encourage owners, designers, and contractors to broaden </w:t>
      </w:r>
      <w:r w:rsidR="004061B5">
        <w:rPr>
          <w:rFonts w:cs="Times New Roman"/>
          <w:color w:val="000000" w:themeColor="text1"/>
          <w:sz w:val="24"/>
          <w:szCs w:val="24"/>
        </w:rPr>
        <w:t xml:space="preserve">their familiarity with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modularization, adjust selection criteria for service providers, and adopt new risk management approaches. </w:t>
      </w:r>
    </w:p>
    <w:p w14:paraId="7818B216" w14:textId="622D48C5" w:rsidR="003D4E54" w:rsidRPr="00F23BF1" w:rsidRDefault="003D4E54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Redefine project needs: Owners/operators should adopt new paradigms </w:t>
      </w:r>
      <w:r w:rsidR="00A15245">
        <w:rPr>
          <w:rFonts w:cs="Times New Roman"/>
          <w:color w:val="000000" w:themeColor="text1"/>
          <w:sz w:val="24"/>
          <w:szCs w:val="24"/>
        </w:rPr>
        <w:t>regarding their needs and ways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to accomplish or deliver projects. </w:t>
      </w:r>
      <w:r w:rsidR="00A15245">
        <w:rPr>
          <w:rFonts w:cs="Times New Roman"/>
          <w:color w:val="000000" w:themeColor="text1"/>
          <w:sz w:val="24"/>
          <w:szCs w:val="24"/>
        </w:rPr>
        <w:t>They need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sufficient in-house work practices, resources, and expertise to freeze </w:t>
      </w:r>
      <w:r w:rsidR="00A15245" w:rsidRPr="00F23BF1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F23BF1">
        <w:rPr>
          <w:rFonts w:cs="Times New Roman"/>
          <w:color w:val="000000" w:themeColor="text1"/>
          <w:sz w:val="24"/>
          <w:szCs w:val="24"/>
        </w:rPr>
        <w:t>process design, conduct necessary studies in a timely manner, and effectively exploit modularization opportunities (</w:t>
      </w:r>
      <w:hyperlink r:id="rId11" w:history="1">
        <w:r w:rsidR="00F23BF1" w:rsidRPr="00F23BF1">
          <w:rPr>
            <w:rStyle w:val="Hyperlink"/>
            <w:rFonts w:cs="Times New Roman" w:hint="eastAsia"/>
            <w:sz w:val="24"/>
            <w:szCs w:val="24"/>
            <w:lang w:eastAsia="zh-CN"/>
          </w:rPr>
          <w:t>RS283-1</w:t>
        </w:r>
      </w:hyperlink>
      <w:r w:rsidR="00F23BF1" w:rsidRPr="00F23BF1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, </w:t>
      </w:r>
      <w:r w:rsidRPr="00F23BF1">
        <w:rPr>
          <w:rFonts w:cs="Times New Roman"/>
          <w:color w:val="000000" w:themeColor="text1"/>
          <w:sz w:val="24"/>
          <w:szCs w:val="24"/>
        </w:rPr>
        <w:t>p.</w:t>
      </w:r>
      <w:r w:rsidR="001A4846" w:rsidRPr="00F23BF1">
        <w:rPr>
          <w:rFonts w:cs="Times New Roman"/>
          <w:color w:val="000000" w:themeColor="text1"/>
          <w:sz w:val="24"/>
          <w:szCs w:val="24"/>
        </w:rPr>
        <w:t xml:space="preserve"> </w:t>
      </w:r>
      <w:r w:rsidRPr="00F23BF1">
        <w:rPr>
          <w:rFonts w:cs="Times New Roman"/>
          <w:color w:val="000000" w:themeColor="text1"/>
          <w:sz w:val="24"/>
          <w:szCs w:val="24"/>
        </w:rPr>
        <w:t>47)</w:t>
      </w:r>
      <w:r w:rsidR="00A15245" w:rsidRPr="00F23BF1">
        <w:rPr>
          <w:rFonts w:cs="Times New Roman"/>
          <w:color w:val="000000" w:themeColor="text1"/>
          <w:sz w:val="24"/>
          <w:szCs w:val="24"/>
        </w:rPr>
        <w:t>.</w:t>
      </w:r>
      <w:r w:rsidRPr="00F23BF1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10E4701F" w14:textId="6CBDF365" w:rsidR="003D4E54" w:rsidRPr="00C23098" w:rsidRDefault="003D4E54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F23BF1">
        <w:rPr>
          <w:rFonts w:cs="Times New Roman"/>
          <w:color w:val="000000" w:themeColor="text1"/>
          <w:sz w:val="24"/>
          <w:szCs w:val="24"/>
        </w:rPr>
        <w:t>Prioritize early collaboration: Early and repetitive collaboration and coordination among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project disciplines </w:t>
      </w:r>
      <w:r w:rsidR="009B2284">
        <w:rPr>
          <w:rFonts w:cs="Times New Roman"/>
          <w:color w:val="000000" w:themeColor="text1"/>
          <w:sz w:val="24"/>
          <w:szCs w:val="24"/>
        </w:rPr>
        <w:t>are keys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to success. Implement proactive, multidisciplinary collaboration</w:t>
      </w:r>
      <w:r w:rsidR="009B2284">
        <w:rPr>
          <w:rFonts w:cs="Times New Roman"/>
          <w:color w:val="000000" w:themeColor="text1"/>
          <w:sz w:val="24"/>
          <w:szCs w:val="24"/>
        </w:rPr>
        <w:t>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="00A15245">
        <w:rPr>
          <w:rFonts w:cs="Times New Roman"/>
          <w:color w:val="000000" w:themeColor="text1"/>
          <w:sz w:val="24"/>
          <w:szCs w:val="24"/>
        </w:rPr>
        <w:t>that involve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planning, engineering, fabrication, construction, commissioning, operations, and project control to achieve optimal planning and design solutions. </w:t>
      </w:r>
    </w:p>
    <w:p w14:paraId="5A28AFE2" w14:textId="77777777" w:rsidR="007C6C83" w:rsidRPr="00C23098" w:rsidRDefault="007C6C83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Promote modular design education: Engineering schools should teach the modular design approach alongside traditional methods, and seek to make the integrated modular approach routine in the design of capital projects. </w:t>
      </w:r>
    </w:p>
    <w:p w14:paraId="15C22626" w14:textId="4FA7CDBF" w:rsidR="007C6C83" w:rsidRPr="00C23098" w:rsidRDefault="007C6C83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lastRenderedPageBreak/>
        <w:t>Leverage data for optimization: Owners and contractors must capture and exploit data to support modularization optimization studies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 that will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address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 </w:t>
      </w:r>
      <w:r w:rsidRPr="00C23098">
        <w:rPr>
          <w:rFonts w:cs="Times New Roman"/>
          <w:color w:val="000000" w:themeColor="text1"/>
          <w:sz w:val="24"/>
          <w:szCs w:val="24"/>
        </w:rPr>
        <w:t>all aspects of modularization cost</w:t>
      </w:r>
      <w:r w:rsidR="00A15245">
        <w:rPr>
          <w:rFonts w:cs="Times New Roman"/>
          <w:color w:val="000000" w:themeColor="text1"/>
          <w:sz w:val="24"/>
          <w:szCs w:val="24"/>
        </w:rPr>
        <w:t>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, schedule savings, and other benefits. </w:t>
      </w:r>
    </w:p>
    <w:p w14:paraId="081D5481" w14:textId="2BB6FE0A" w:rsidR="00205402" w:rsidRPr="00C23098" w:rsidRDefault="00205402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Increase module density and completeness: Design 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modules that are </w:t>
      </w:r>
      <w:r w:rsidRPr="00C23098">
        <w:rPr>
          <w:rFonts w:cs="Times New Roman"/>
          <w:color w:val="000000" w:themeColor="text1"/>
          <w:sz w:val="24"/>
          <w:szCs w:val="24"/>
        </w:rPr>
        <w:t>denser (in terms of fabrication work hours per cubic foot) and more complete (in terms of number of systems and functional components incorporated) while preserving safety, operational, and maintenance requirements</w:t>
      </w:r>
      <w:r w:rsidR="00A15245">
        <w:rPr>
          <w:rFonts w:cs="Times New Roman"/>
          <w:color w:val="000000" w:themeColor="text1"/>
          <w:sz w:val="24"/>
          <w:szCs w:val="24"/>
        </w:rPr>
        <w:t>,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and 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consider </w:t>
      </w:r>
      <w:r w:rsidRPr="00C23098">
        <w:rPr>
          <w:rFonts w:cs="Times New Roman"/>
          <w:color w:val="000000" w:themeColor="text1"/>
          <w:sz w:val="24"/>
          <w:szCs w:val="24"/>
        </w:rPr>
        <w:t>related asset loss prevention tactics</w:t>
      </w:r>
      <w:r w:rsidR="00A15245">
        <w:rPr>
          <w:rFonts w:cs="Times New Roman"/>
          <w:color w:val="000000" w:themeColor="text1"/>
          <w:sz w:val="24"/>
          <w:szCs w:val="24"/>
        </w:rPr>
        <w:t>.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0F0F3A46" w14:textId="7A8E86DD" w:rsidR="00205402" w:rsidRPr="00C23098" w:rsidRDefault="00205402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Modify equipment for modularization: Enhance equipment design with modularization-friendly configurations through collaboration</w:t>
      </w:r>
      <w:r w:rsidR="00A15245">
        <w:rPr>
          <w:rFonts w:cs="Times New Roman"/>
          <w:color w:val="000000" w:themeColor="text1"/>
          <w:sz w:val="24"/>
          <w:szCs w:val="24"/>
        </w:rPr>
        <w:t>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among stakeholders</w:t>
      </w:r>
      <w:r w:rsidR="00A15245">
        <w:rPr>
          <w:rFonts w:cs="Times New Roman"/>
          <w:color w:val="000000" w:themeColor="text1"/>
          <w:sz w:val="24"/>
          <w:szCs w:val="24"/>
        </w:rPr>
        <w:t>,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including manufacturers, owners, process engineers, designers, contractors, and economic analysts. </w:t>
      </w:r>
    </w:p>
    <w:p w14:paraId="032F39D2" w14:textId="4AC75986" w:rsidR="00992829" w:rsidRPr="00C23098" w:rsidRDefault="00992829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Standardize modular components: The industry should expand 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the inclusion of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off-the-shelf modular components and assemblies with compatible interfaces. Package units should be compatible as submodules within a larger module. Component-to-component physical interface standard protocols should be expanded. </w:t>
      </w:r>
    </w:p>
    <w:p w14:paraId="15E569DD" w14:textId="0741B7C4" w:rsidR="00992829" w:rsidRPr="00C23098" w:rsidRDefault="00992829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Improve transportation infrastructure: Upgrad</w:t>
      </w:r>
      <w:r w:rsidR="009B2284">
        <w:rPr>
          <w:rFonts w:cs="Times New Roman"/>
          <w:color w:val="000000" w:themeColor="text1"/>
          <w:sz w:val="24"/>
          <w:szCs w:val="24"/>
        </w:rPr>
        <w:t>ing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ports, roads, and bridges to accommodate modular transport should be considered for capital investment projects. This 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effort </w:t>
      </w:r>
      <w:r w:rsidRPr="00C23098">
        <w:rPr>
          <w:rFonts w:cs="Times New Roman"/>
          <w:color w:val="000000" w:themeColor="text1"/>
          <w:sz w:val="24"/>
          <w:szCs w:val="24"/>
        </w:rPr>
        <w:t>will likely require collaboration among local parties and may involve some master planning by regional</w:t>
      </w:r>
      <w:r w:rsidR="0068664F"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authorities. </w:t>
      </w:r>
    </w:p>
    <w:p w14:paraId="111D6635" w14:textId="2C94E6E5" w:rsidR="0068664F" w:rsidRDefault="0068664F" w:rsidP="00724634">
      <w:pPr>
        <w:pStyle w:val="ListParagraph"/>
        <w:numPr>
          <w:ilvl w:val="0"/>
          <w:numId w:val="3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>Advance fabrication technology: The industry should develop advanced technologies that facilitate fabrication, transport, and installation/connection. For example, stronger, lighter materials, easier connections, and site connection methods that are fully compatible with fabrication tolerances</w:t>
      </w:r>
      <w:r w:rsidR="00A15245">
        <w:rPr>
          <w:rFonts w:cs="Times New Roman"/>
          <w:color w:val="000000" w:themeColor="text1"/>
          <w:sz w:val="24"/>
          <w:szCs w:val="24"/>
        </w:rPr>
        <w:t xml:space="preserve"> are needed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. </w:t>
      </w:r>
    </w:p>
    <w:p w14:paraId="3B34A37F" w14:textId="77777777" w:rsidR="00C23098" w:rsidRPr="00C23098" w:rsidRDefault="00C23098" w:rsidP="00724634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31883524" w14:textId="77777777" w:rsidR="003825AF" w:rsidRDefault="00C23098" w:rsidP="00724634">
      <w:pPr>
        <w:pStyle w:val="Heading2"/>
        <w:spacing w:before="0" w:after="0" w:line="240" w:lineRule="auto"/>
        <w:rPr>
          <w:u w:val="single"/>
        </w:rPr>
      </w:pPr>
      <w:hyperlink r:id="rId12" w:history="1">
        <w:r w:rsidRPr="008B4452">
          <w:rPr>
            <w:rStyle w:val="Hyperlink"/>
          </w:rPr>
          <w:t>(6) T</w:t>
        </w:r>
        <w:r w:rsidR="00E559ED" w:rsidRPr="008B4452">
          <w:rPr>
            <w:rStyle w:val="Hyperlink"/>
          </w:rPr>
          <w:t>ool: Industrial Modularization: Five Solution Elements, Version 1.1 (IR283-2)</w:t>
        </w:r>
      </w:hyperlink>
    </w:p>
    <w:p w14:paraId="2FF38204" w14:textId="0D010ACF" w:rsidR="00191A51" w:rsidRPr="003825AF" w:rsidRDefault="00DA085F" w:rsidP="003825AF">
      <w:pPr>
        <w:pStyle w:val="Heading2"/>
        <w:spacing w:before="0" w:after="0" w:line="240" w:lineRule="auto"/>
        <w:ind w:firstLine="360"/>
      </w:pPr>
      <w:r w:rsidRPr="00F32CCB">
        <w:t>(Project Phase:</w:t>
      </w:r>
      <w:r w:rsidR="00CF5F18" w:rsidRPr="00F32CCB">
        <w:t xml:space="preserve"> </w:t>
      </w:r>
      <w:r w:rsidR="00C23098" w:rsidRPr="00F32CCB">
        <w:t>Pre</w:t>
      </w:r>
      <w:r w:rsidR="00A800BA">
        <w:t>f</w:t>
      </w:r>
      <w:r w:rsidR="00C23098" w:rsidRPr="00F32CCB">
        <w:t>easibility</w:t>
      </w:r>
      <w:r w:rsidR="008024CF" w:rsidRPr="00F32CCB">
        <w:t xml:space="preserve"> through Detailed Design and Procurement</w:t>
      </w:r>
      <w:r w:rsidRPr="00F32CCB">
        <w:t>)</w:t>
      </w:r>
    </w:p>
    <w:p w14:paraId="30D4F1D7" w14:textId="14BB8B4D" w:rsidR="00F32CCB" w:rsidRPr="00F32CCB" w:rsidRDefault="00F32CCB" w:rsidP="00724634">
      <w:pPr>
        <w:spacing w:after="0" w:line="240" w:lineRule="auto"/>
        <w:rPr>
          <w:sz w:val="24"/>
          <w:szCs w:val="24"/>
        </w:rPr>
      </w:pPr>
      <w:r w:rsidRPr="00F32CCB">
        <w:rPr>
          <w:sz w:val="24"/>
          <w:szCs w:val="24"/>
        </w:rPr>
        <w:t xml:space="preserve">      The five solution elements in the Industrial Modularization tool are:</w:t>
      </w:r>
    </w:p>
    <w:p w14:paraId="34F367FF" w14:textId="41C74D34" w:rsidR="00C26631" w:rsidRPr="00C23098" w:rsidRDefault="00C26631" w:rsidP="00724634">
      <w:pPr>
        <w:pStyle w:val="ListParagraph"/>
        <w:numPr>
          <w:ilvl w:val="0"/>
          <w:numId w:val="3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Define </w:t>
      </w:r>
      <w:r w:rsidR="004B20F8">
        <w:rPr>
          <w:rFonts w:cs="Times New Roman"/>
          <w:color w:val="000000" w:themeColor="text1"/>
          <w:sz w:val="24"/>
          <w:szCs w:val="24"/>
        </w:rPr>
        <w:t xml:space="preserve">the </w:t>
      </w:r>
      <w:r w:rsidR="009C2A54" w:rsidRPr="00C23098">
        <w:rPr>
          <w:rFonts w:cs="Times New Roman"/>
          <w:color w:val="000000" w:themeColor="text1"/>
          <w:sz w:val="24"/>
          <w:szCs w:val="24"/>
        </w:rPr>
        <w:t>business c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ase: Evaluate </w:t>
      </w:r>
      <w:r w:rsidR="009C2A54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23098">
        <w:rPr>
          <w:rFonts w:cs="Times New Roman"/>
          <w:color w:val="000000" w:themeColor="text1"/>
          <w:sz w:val="24"/>
          <w:szCs w:val="24"/>
        </w:rPr>
        <w:t>project</w:t>
      </w:r>
      <w:r w:rsidR="009C2A54">
        <w:rPr>
          <w:rFonts w:cs="Times New Roman"/>
          <w:color w:val="000000" w:themeColor="text1"/>
          <w:sz w:val="24"/>
          <w:szCs w:val="24"/>
        </w:rPr>
        <w:t>’s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feasibility for modularization, focusing on cost, schedule, and risk to optimize project outcomes. </w:t>
      </w:r>
    </w:p>
    <w:p w14:paraId="6E83662D" w14:textId="3C36CB39" w:rsidR="00C26631" w:rsidRPr="00C23098" w:rsidRDefault="00C26631" w:rsidP="00724634">
      <w:pPr>
        <w:pStyle w:val="ListParagraph"/>
        <w:numPr>
          <w:ilvl w:val="0"/>
          <w:numId w:val="3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Adapt </w:t>
      </w:r>
      <w:r w:rsidR="00513359">
        <w:rPr>
          <w:rFonts w:cs="Times New Roman"/>
          <w:color w:val="000000" w:themeColor="text1"/>
          <w:sz w:val="24"/>
          <w:szCs w:val="24"/>
        </w:rPr>
        <w:t xml:space="preserve">the </w:t>
      </w:r>
      <w:r w:rsidR="009C2A54" w:rsidRPr="00C23098">
        <w:rPr>
          <w:rFonts w:cs="Times New Roman"/>
          <w:color w:val="000000" w:themeColor="text1"/>
          <w:sz w:val="24"/>
          <w:szCs w:val="24"/>
        </w:rPr>
        <w:t>execution planning</w:t>
      </w:r>
      <w:r w:rsidR="00513359">
        <w:rPr>
          <w:rFonts w:cs="Times New Roman"/>
          <w:color w:val="000000" w:themeColor="text1"/>
          <w:sz w:val="24"/>
          <w:szCs w:val="24"/>
        </w:rPr>
        <w:t xml:space="preserve"> phase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: Adjust project planning to reflect </w:t>
      </w:r>
      <w:r w:rsidR="009C2A54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23098">
        <w:rPr>
          <w:rFonts w:cs="Times New Roman"/>
          <w:color w:val="000000" w:themeColor="text1"/>
          <w:sz w:val="24"/>
          <w:szCs w:val="24"/>
        </w:rPr>
        <w:t>unique requirements of modularization versus traditional stick-buil</w:t>
      </w:r>
      <w:r w:rsidR="004B20F8">
        <w:rPr>
          <w:rFonts w:cs="Times New Roman"/>
          <w:color w:val="000000" w:themeColor="text1"/>
          <w:sz w:val="24"/>
          <w:szCs w:val="24"/>
        </w:rPr>
        <w:t xml:space="preserve">t 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approaches. </w:t>
      </w:r>
    </w:p>
    <w:p w14:paraId="68F3335C" w14:textId="66049B0C" w:rsidR="00725B8D" w:rsidRPr="00C23098" w:rsidRDefault="00725B8D" w:rsidP="00724634">
      <w:pPr>
        <w:pStyle w:val="ListParagraph"/>
        <w:numPr>
          <w:ilvl w:val="0"/>
          <w:numId w:val="3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Identify </w:t>
      </w:r>
      <w:r w:rsidR="00BD16C0">
        <w:rPr>
          <w:rFonts w:cs="Times New Roman"/>
          <w:color w:val="000000" w:themeColor="text1"/>
          <w:sz w:val="24"/>
          <w:szCs w:val="24"/>
        </w:rPr>
        <w:t>CSFs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: Determine </w:t>
      </w:r>
      <w:r w:rsidR="00513359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23098">
        <w:rPr>
          <w:rFonts w:cs="Times New Roman"/>
          <w:color w:val="000000" w:themeColor="text1"/>
          <w:sz w:val="24"/>
          <w:szCs w:val="24"/>
        </w:rPr>
        <w:t>essential factors</w:t>
      </w:r>
      <w:r w:rsidR="009C2A54">
        <w:rPr>
          <w:rFonts w:cs="Times New Roman"/>
          <w:color w:val="000000" w:themeColor="text1"/>
          <w:sz w:val="24"/>
          <w:szCs w:val="24"/>
        </w:rPr>
        <w:t>, such as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schedule adherence, site logistics, and design adaptability</w:t>
      </w:r>
      <w:r w:rsidR="009C2A54">
        <w:rPr>
          <w:rFonts w:cs="Times New Roman"/>
          <w:color w:val="000000" w:themeColor="text1"/>
          <w:sz w:val="24"/>
          <w:szCs w:val="24"/>
        </w:rPr>
        <w:t>,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for successful modularization. </w:t>
      </w:r>
    </w:p>
    <w:p w14:paraId="58EAEBFE" w14:textId="4AEF88DE" w:rsidR="00725B8D" w:rsidRPr="00C23098" w:rsidRDefault="00725B8D" w:rsidP="00724634">
      <w:pPr>
        <w:pStyle w:val="ListParagraph"/>
        <w:numPr>
          <w:ilvl w:val="0"/>
          <w:numId w:val="3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Standardize </w:t>
      </w:r>
      <w:r w:rsidR="00513359">
        <w:rPr>
          <w:rFonts w:cs="Times New Roman"/>
          <w:color w:val="000000" w:themeColor="text1"/>
          <w:sz w:val="24"/>
          <w:szCs w:val="24"/>
        </w:rPr>
        <w:t xml:space="preserve">the </w:t>
      </w:r>
      <w:r w:rsidR="009C2A54" w:rsidRPr="00C23098">
        <w:rPr>
          <w:rFonts w:cs="Times New Roman"/>
          <w:color w:val="000000" w:themeColor="text1"/>
          <w:sz w:val="24"/>
          <w:szCs w:val="24"/>
        </w:rPr>
        <w:t>design strategy</w:t>
      </w:r>
      <w:r w:rsidRPr="00C23098">
        <w:rPr>
          <w:rFonts w:cs="Times New Roman"/>
          <w:color w:val="000000" w:themeColor="text1"/>
          <w:sz w:val="24"/>
          <w:szCs w:val="24"/>
        </w:rPr>
        <w:t>: Apply standardization across project</w:t>
      </w:r>
      <w:r w:rsidR="00234EEC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phases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to enhance modularization efficiency and integration. </w:t>
      </w:r>
    </w:p>
    <w:p w14:paraId="54FF4A2F" w14:textId="0419EB81" w:rsidR="00F549E8" w:rsidRPr="00C23098" w:rsidRDefault="00725B8D" w:rsidP="00724634">
      <w:pPr>
        <w:pStyle w:val="ListParagraph"/>
        <w:numPr>
          <w:ilvl w:val="0"/>
          <w:numId w:val="3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23098">
        <w:rPr>
          <w:rFonts w:cs="Times New Roman"/>
          <w:color w:val="000000" w:themeColor="text1"/>
          <w:sz w:val="24"/>
          <w:szCs w:val="24"/>
        </w:rPr>
        <w:t xml:space="preserve">Enable </w:t>
      </w:r>
      <w:r w:rsidR="00991A7B" w:rsidRPr="00C23098">
        <w:rPr>
          <w:rFonts w:cs="Times New Roman"/>
          <w:color w:val="000000" w:themeColor="text1"/>
          <w:sz w:val="24"/>
          <w:szCs w:val="24"/>
        </w:rPr>
        <w:t xml:space="preserve">industry </w:t>
      </w:r>
      <w:r w:rsidR="00991A7B" w:rsidRPr="00B321E6">
        <w:rPr>
          <w:rFonts w:cs="Times New Roman"/>
          <w:color w:val="000000" w:themeColor="text1"/>
          <w:sz w:val="24"/>
          <w:szCs w:val="24"/>
        </w:rPr>
        <w:t>maximization</w:t>
      </w:r>
      <w:r w:rsidRPr="00B321E6">
        <w:rPr>
          <w:rFonts w:cs="Times New Roman"/>
          <w:color w:val="000000" w:themeColor="text1"/>
          <w:sz w:val="24"/>
          <w:szCs w:val="24"/>
        </w:rPr>
        <w:t xml:space="preserve">: Overcome industry-wide barriers through </w:t>
      </w:r>
      <w:r w:rsidR="00B407D9" w:rsidRPr="00B321E6">
        <w:rPr>
          <w:rFonts w:cs="Times New Roman"/>
          <w:color w:val="000000" w:themeColor="text1"/>
          <w:sz w:val="24"/>
          <w:szCs w:val="24"/>
        </w:rPr>
        <w:t>the use of</w:t>
      </w:r>
      <w:r w:rsidR="004B20F8" w:rsidRPr="00B321E6">
        <w:rPr>
          <w:rFonts w:cs="Times New Roman"/>
          <w:color w:val="000000" w:themeColor="text1"/>
          <w:sz w:val="24"/>
          <w:szCs w:val="24"/>
        </w:rPr>
        <w:t xml:space="preserve"> the</w:t>
      </w:r>
      <w:r w:rsidR="00B407D9" w:rsidRPr="00B321E6">
        <w:rPr>
          <w:rFonts w:cs="Times New Roman"/>
          <w:color w:val="000000" w:themeColor="text1"/>
          <w:sz w:val="24"/>
          <w:szCs w:val="24"/>
        </w:rPr>
        <w:t xml:space="preserve"> ten </w:t>
      </w:r>
      <w:r w:rsidRPr="00B321E6">
        <w:rPr>
          <w:rFonts w:cs="Times New Roman"/>
          <w:color w:val="000000" w:themeColor="text1"/>
          <w:sz w:val="24"/>
          <w:szCs w:val="24"/>
        </w:rPr>
        <w:t>strategic enablers</w:t>
      </w:r>
      <w:r w:rsidR="000339D6" w:rsidRPr="00B321E6">
        <w:rPr>
          <w:rFonts w:cs="Times New Roman"/>
          <w:color w:val="000000" w:themeColor="text1"/>
          <w:sz w:val="24"/>
          <w:szCs w:val="24"/>
        </w:rPr>
        <w:t xml:space="preserve"> (see ‘(5) Review the ten enablers. . .’ above)</w:t>
      </w:r>
      <w:r w:rsidRPr="00B321E6">
        <w:rPr>
          <w:rFonts w:cs="Times New Roman"/>
          <w:color w:val="000000" w:themeColor="text1"/>
          <w:sz w:val="24"/>
          <w:szCs w:val="24"/>
        </w:rPr>
        <w:t xml:space="preserve">, </w:t>
      </w:r>
      <w:r w:rsidR="00991A7B" w:rsidRPr="00B321E6">
        <w:rPr>
          <w:rFonts w:cs="Times New Roman"/>
          <w:color w:val="000000" w:themeColor="text1"/>
          <w:sz w:val="24"/>
          <w:szCs w:val="24"/>
        </w:rPr>
        <w:t xml:space="preserve">thereby </w:t>
      </w:r>
      <w:r w:rsidRPr="00B321E6">
        <w:rPr>
          <w:rFonts w:cs="Times New Roman"/>
          <w:color w:val="000000" w:themeColor="text1"/>
          <w:sz w:val="24"/>
          <w:szCs w:val="24"/>
        </w:rPr>
        <w:t>promoting widespread modular</w:t>
      </w:r>
      <w:r w:rsidR="00BD16C0" w:rsidRPr="00B321E6">
        <w:rPr>
          <w:rFonts w:cs="Times New Roman"/>
          <w:color w:val="000000" w:themeColor="text1"/>
          <w:sz w:val="24"/>
          <w:szCs w:val="24"/>
        </w:rPr>
        <w:t>ization</w:t>
      </w:r>
      <w:r w:rsidRPr="00B321E6">
        <w:rPr>
          <w:rFonts w:cs="Times New Roman"/>
          <w:color w:val="000000" w:themeColor="text1"/>
          <w:sz w:val="24"/>
          <w:szCs w:val="24"/>
        </w:rPr>
        <w:t xml:space="preserve"> adoption and benefits.</w:t>
      </w:r>
      <w:r w:rsidRPr="00C23098">
        <w:rPr>
          <w:rFonts w:cs="Times New Roman"/>
          <w:color w:val="000000" w:themeColor="text1"/>
          <w:sz w:val="24"/>
          <w:szCs w:val="24"/>
        </w:rPr>
        <w:t xml:space="preserve"> </w:t>
      </w:r>
      <w:r w:rsidR="00893B71" w:rsidRPr="00C23098">
        <w:rPr>
          <w:rFonts w:cs="Times New Roman"/>
          <w:color w:val="000000" w:themeColor="text1"/>
          <w:sz w:val="24"/>
          <w:szCs w:val="24"/>
        </w:rPr>
        <w:tab/>
      </w:r>
      <w:r w:rsidR="00893B71" w:rsidRPr="00C23098">
        <w:rPr>
          <w:rFonts w:cs="Times New Roman"/>
          <w:color w:val="000000" w:themeColor="text1"/>
          <w:sz w:val="24"/>
          <w:szCs w:val="24"/>
        </w:rPr>
        <w:tab/>
      </w:r>
    </w:p>
    <w:sectPr w:rsidR="00F549E8" w:rsidRPr="00C23098" w:rsidSect="00FC290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A79FB"/>
    <w:multiLevelType w:val="hybridMultilevel"/>
    <w:tmpl w:val="B678C7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D26"/>
    <w:multiLevelType w:val="hybridMultilevel"/>
    <w:tmpl w:val="2F622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15A3"/>
    <w:multiLevelType w:val="hybridMultilevel"/>
    <w:tmpl w:val="956A8F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64108"/>
    <w:multiLevelType w:val="hybridMultilevel"/>
    <w:tmpl w:val="C53E77C2"/>
    <w:lvl w:ilvl="0" w:tplc="F22ACF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21F7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D775C"/>
    <w:multiLevelType w:val="hybridMultilevel"/>
    <w:tmpl w:val="43AEF5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54F"/>
    <w:multiLevelType w:val="hybridMultilevel"/>
    <w:tmpl w:val="357C4E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F2919"/>
    <w:multiLevelType w:val="hybridMultilevel"/>
    <w:tmpl w:val="357C4E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976F5"/>
    <w:multiLevelType w:val="hybridMultilevel"/>
    <w:tmpl w:val="441E93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C0BFF"/>
    <w:multiLevelType w:val="hybridMultilevel"/>
    <w:tmpl w:val="B13E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B37AE"/>
    <w:multiLevelType w:val="hybridMultilevel"/>
    <w:tmpl w:val="98243C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F63C6"/>
    <w:multiLevelType w:val="hybridMultilevel"/>
    <w:tmpl w:val="A57E41EE"/>
    <w:lvl w:ilvl="0" w:tplc="148C93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011661"/>
    <w:multiLevelType w:val="hybridMultilevel"/>
    <w:tmpl w:val="9E58F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06833"/>
    <w:multiLevelType w:val="hybridMultilevel"/>
    <w:tmpl w:val="03DEA8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A1BAA"/>
    <w:multiLevelType w:val="hybridMultilevel"/>
    <w:tmpl w:val="E0769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05832"/>
    <w:multiLevelType w:val="hybridMultilevel"/>
    <w:tmpl w:val="7BF4A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20D01"/>
    <w:multiLevelType w:val="hybridMultilevel"/>
    <w:tmpl w:val="03DEA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87400"/>
    <w:multiLevelType w:val="hybridMultilevel"/>
    <w:tmpl w:val="D5F84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1778F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F14E6"/>
    <w:multiLevelType w:val="hybridMultilevel"/>
    <w:tmpl w:val="357C4E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2410F"/>
    <w:multiLevelType w:val="hybridMultilevel"/>
    <w:tmpl w:val="1C2E8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90864"/>
    <w:multiLevelType w:val="hybridMultilevel"/>
    <w:tmpl w:val="357C4E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E559E"/>
    <w:multiLevelType w:val="hybridMultilevel"/>
    <w:tmpl w:val="6AA4B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451D7"/>
    <w:multiLevelType w:val="hybridMultilevel"/>
    <w:tmpl w:val="D4009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F50DC"/>
    <w:multiLevelType w:val="hybridMultilevel"/>
    <w:tmpl w:val="BF50E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E04AC"/>
    <w:multiLevelType w:val="hybridMultilevel"/>
    <w:tmpl w:val="4D0C1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13F46"/>
    <w:multiLevelType w:val="hybridMultilevel"/>
    <w:tmpl w:val="43AEF5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A975A4"/>
    <w:multiLevelType w:val="hybridMultilevel"/>
    <w:tmpl w:val="CECCE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22184"/>
    <w:multiLevelType w:val="hybridMultilevel"/>
    <w:tmpl w:val="A43A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CE66D0"/>
    <w:multiLevelType w:val="hybridMultilevel"/>
    <w:tmpl w:val="A5C61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E7E29"/>
    <w:multiLevelType w:val="hybridMultilevel"/>
    <w:tmpl w:val="5CB28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C01A2A"/>
    <w:multiLevelType w:val="hybridMultilevel"/>
    <w:tmpl w:val="E07699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402F8"/>
    <w:multiLevelType w:val="hybridMultilevel"/>
    <w:tmpl w:val="1F6E4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E7D12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4A05E3"/>
    <w:multiLevelType w:val="hybridMultilevel"/>
    <w:tmpl w:val="F66C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95641"/>
    <w:multiLevelType w:val="hybridMultilevel"/>
    <w:tmpl w:val="73BEC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62842"/>
    <w:multiLevelType w:val="hybridMultilevel"/>
    <w:tmpl w:val="BF50E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24D99"/>
    <w:multiLevelType w:val="hybridMultilevel"/>
    <w:tmpl w:val="6C882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F299A"/>
    <w:multiLevelType w:val="hybridMultilevel"/>
    <w:tmpl w:val="441E93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341F0"/>
    <w:multiLevelType w:val="hybridMultilevel"/>
    <w:tmpl w:val="86EC9CD2"/>
    <w:lvl w:ilvl="0" w:tplc="D532703C">
      <w:start w:val="4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D11142"/>
    <w:multiLevelType w:val="hybridMultilevel"/>
    <w:tmpl w:val="942CC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603753">
    <w:abstractNumId w:val="22"/>
  </w:num>
  <w:num w:numId="2" w16cid:durableId="1052078125">
    <w:abstractNumId w:val="37"/>
  </w:num>
  <w:num w:numId="3" w16cid:durableId="676617151">
    <w:abstractNumId w:val="38"/>
  </w:num>
  <w:num w:numId="4" w16cid:durableId="562835090">
    <w:abstractNumId w:val="31"/>
  </w:num>
  <w:num w:numId="5" w16cid:durableId="1359504598">
    <w:abstractNumId w:val="16"/>
  </w:num>
  <w:num w:numId="6" w16cid:durableId="1562987232">
    <w:abstractNumId w:val="24"/>
  </w:num>
  <w:num w:numId="7" w16cid:durableId="884367478">
    <w:abstractNumId w:val="26"/>
  </w:num>
  <w:num w:numId="8" w16cid:durableId="1738436825">
    <w:abstractNumId w:val="0"/>
  </w:num>
  <w:num w:numId="9" w16cid:durableId="1936673494">
    <w:abstractNumId w:val="17"/>
  </w:num>
  <w:num w:numId="10" w16cid:durableId="431172331">
    <w:abstractNumId w:val="10"/>
  </w:num>
  <w:num w:numId="11" w16cid:durableId="994726383">
    <w:abstractNumId w:val="2"/>
  </w:num>
  <w:num w:numId="12" w16cid:durableId="1914001632">
    <w:abstractNumId w:val="32"/>
  </w:num>
  <w:num w:numId="13" w16cid:durableId="301545632">
    <w:abstractNumId w:val="1"/>
  </w:num>
  <w:num w:numId="14" w16cid:durableId="2017884132">
    <w:abstractNumId w:val="20"/>
  </w:num>
  <w:num w:numId="15" w16cid:durableId="1776166522">
    <w:abstractNumId w:val="35"/>
  </w:num>
  <w:num w:numId="16" w16cid:durableId="1327244331">
    <w:abstractNumId w:val="15"/>
  </w:num>
  <w:num w:numId="17" w16cid:durableId="820850785">
    <w:abstractNumId w:val="9"/>
  </w:num>
  <w:num w:numId="18" w16cid:durableId="1750813447">
    <w:abstractNumId w:val="11"/>
  </w:num>
  <w:num w:numId="19" w16cid:durableId="1264415857">
    <w:abstractNumId w:val="6"/>
  </w:num>
  <w:num w:numId="20" w16cid:durableId="1134327874">
    <w:abstractNumId w:val="4"/>
  </w:num>
  <w:num w:numId="21" w16cid:durableId="545217104">
    <w:abstractNumId w:val="21"/>
  </w:num>
  <w:num w:numId="22" w16cid:durableId="1993673424">
    <w:abstractNumId w:val="8"/>
  </w:num>
  <w:num w:numId="23" w16cid:durableId="1923025222">
    <w:abstractNumId w:val="19"/>
  </w:num>
  <w:num w:numId="24" w16cid:durableId="128012502">
    <w:abstractNumId w:val="14"/>
  </w:num>
  <w:num w:numId="25" w16cid:durableId="1218009966">
    <w:abstractNumId w:val="13"/>
  </w:num>
  <w:num w:numId="26" w16cid:durableId="1567374915">
    <w:abstractNumId w:val="5"/>
  </w:num>
  <w:num w:numId="27" w16cid:durableId="403449522">
    <w:abstractNumId w:val="36"/>
  </w:num>
  <w:num w:numId="28" w16cid:durableId="2110589047">
    <w:abstractNumId w:val="33"/>
  </w:num>
  <w:num w:numId="29" w16cid:durableId="221409384">
    <w:abstractNumId w:val="18"/>
  </w:num>
  <w:num w:numId="30" w16cid:durableId="1353610178">
    <w:abstractNumId w:val="7"/>
  </w:num>
  <w:num w:numId="31" w16cid:durableId="2035576455">
    <w:abstractNumId w:val="3"/>
  </w:num>
  <w:num w:numId="32" w16cid:durableId="1590389431">
    <w:abstractNumId w:val="28"/>
  </w:num>
  <w:num w:numId="33" w16cid:durableId="546066739">
    <w:abstractNumId w:val="34"/>
  </w:num>
  <w:num w:numId="34" w16cid:durableId="1167863535">
    <w:abstractNumId w:val="12"/>
  </w:num>
  <w:num w:numId="35" w16cid:durableId="795025421">
    <w:abstractNumId w:val="27"/>
  </w:num>
  <w:num w:numId="36" w16cid:durableId="1441990040">
    <w:abstractNumId w:val="30"/>
  </w:num>
  <w:num w:numId="37" w16cid:durableId="1505051421">
    <w:abstractNumId w:val="23"/>
  </w:num>
  <w:num w:numId="38" w16cid:durableId="429357923">
    <w:abstractNumId w:val="29"/>
  </w:num>
  <w:num w:numId="39" w16cid:durableId="1593314041">
    <w:abstractNumId w:val="25"/>
  </w:num>
  <w:num w:numId="40" w16cid:durableId="972366632">
    <w:abstractNumId w:val="40"/>
  </w:num>
  <w:num w:numId="41" w16cid:durableId="181202088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xNjQxMzcwMTA2NzFT0lEKTi0uzszPAykwqwUApIlGYCwAAAA="/>
  </w:docVars>
  <w:rsids>
    <w:rsidRoot w:val="00830C78"/>
    <w:rsid w:val="00003FBF"/>
    <w:rsid w:val="000159ED"/>
    <w:rsid w:val="00030FA2"/>
    <w:rsid w:val="000339D6"/>
    <w:rsid w:val="00053706"/>
    <w:rsid w:val="00063B3A"/>
    <w:rsid w:val="000A205B"/>
    <w:rsid w:val="000C142F"/>
    <w:rsid w:val="000D2059"/>
    <w:rsid w:val="000E2724"/>
    <w:rsid w:val="001052C0"/>
    <w:rsid w:val="00131F8B"/>
    <w:rsid w:val="00134D87"/>
    <w:rsid w:val="0014696D"/>
    <w:rsid w:val="00147519"/>
    <w:rsid w:val="00147C89"/>
    <w:rsid w:val="00157736"/>
    <w:rsid w:val="00163315"/>
    <w:rsid w:val="00166F00"/>
    <w:rsid w:val="00167836"/>
    <w:rsid w:val="001749B3"/>
    <w:rsid w:val="00175FB9"/>
    <w:rsid w:val="001762EC"/>
    <w:rsid w:val="00177E12"/>
    <w:rsid w:val="00191800"/>
    <w:rsid w:val="00191A51"/>
    <w:rsid w:val="001A2C36"/>
    <w:rsid w:val="001A4846"/>
    <w:rsid w:val="001B0130"/>
    <w:rsid w:val="001B592F"/>
    <w:rsid w:val="001D3BAD"/>
    <w:rsid w:val="001F0201"/>
    <w:rsid w:val="001F6ECD"/>
    <w:rsid w:val="00205402"/>
    <w:rsid w:val="00206F5F"/>
    <w:rsid w:val="002111E3"/>
    <w:rsid w:val="00212FEC"/>
    <w:rsid w:val="002147F6"/>
    <w:rsid w:val="002203C0"/>
    <w:rsid w:val="00222E17"/>
    <w:rsid w:val="00227B8C"/>
    <w:rsid w:val="00234EEC"/>
    <w:rsid w:val="002361C1"/>
    <w:rsid w:val="0025066D"/>
    <w:rsid w:val="00272C4C"/>
    <w:rsid w:val="0028210D"/>
    <w:rsid w:val="002B75BE"/>
    <w:rsid w:val="002C056D"/>
    <w:rsid w:val="002C7919"/>
    <w:rsid w:val="002E33B3"/>
    <w:rsid w:val="002E7BD5"/>
    <w:rsid w:val="002F0F48"/>
    <w:rsid w:val="003030BA"/>
    <w:rsid w:val="003075B0"/>
    <w:rsid w:val="00317175"/>
    <w:rsid w:val="0032684C"/>
    <w:rsid w:val="00350B6A"/>
    <w:rsid w:val="003545AE"/>
    <w:rsid w:val="003546CF"/>
    <w:rsid w:val="00360253"/>
    <w:rsid w:val="00371D4F"/>
    <w:rsid w:val="00377576"/>
    <w:rsid w:val="00377D8B"/>
    <w:rsid w:val="003825AF"/>
    <w:rsid w:val="00385260"/>
    <w:rsid w:val="00390696"/>
    <w:rsid w:val="003A6D90"/>
    <w:rsid w:val="003B2149"/>
    <w:rsid w:val="003B3923"/>
    <w:rsid w:val="003C0DDC"/>
    <w:rsid w:val="003D2826"/>
    <w:rsid w:val="003D46A7"/>
    <w:rsid w:val="003D4E54"/>
    <w:rsid w:val="004026F2"/>
    <w:rsid w:val="00404089"/>
    <w:rsid w:val="004061B5"/>
    <w:rsid w:val="004132AC"/>
    <w:rsid w:val="004223DD"/>
    <w:rsid w:val="004423C6"/>
    <w:rsid w:val="0044251E"/>
    <w:rsid w:val="0045134C"/>
    <w:rsid w:val="00461B8A"/>
    <w:rsid w:val="00464D56"/>
    <w:rsid w:val="00495AA3"/>
    <w:rsid w:val="004B20F8"/>
    <w:rsid w:val="004B5236"/>
    <w:rsid w:val="004D53F4"/>
    <w:rsid w:val="004D7992"/>
    <w:rsid w:val="004E04EC"/>
    <w:rsid w:val="004E4EFE"/>
    <w:rsid w:val="004F5320"/>
    <w:rsid w:val="005125FD"/>
    <w:rsid w:val="00513359"/>
    <w:rsid w:val="005205BD"/>
    <w:rsid w:val="00525C8F"/>
    <w:rsid w:val="005559B6"/>
    <w:rsid w:val="005565DC"/>
    <w:rsid w:val="005756A7"/>
    <w:rsid w:val="00577C51"/>
    <w:rsid w:val="005A1084"/>
    <w:rsid w:val="005A5EEA"/>
    <w:rsid w:val="005B3B67"/>
    <w:rsid w:val="005C08B6"/>
    <w:rsid w:val="005F5C5B"/>
    <w:rsid w:val="005F65A8"/>
    <w:rsid w:val="00605512"/>
    <w:rsid w:val="00684BC9"/>
    <w:rsid w:val="0068664F"/>
    <w:rsid w:val="0069226A"/>
    <w:rsid w:val="00692983"/>
    <w:rsid w:val="006A4EAC"/>
    <w:rsid w:val="006A754A"/>
    <w:rsid w:val="006D1258"/>
    <w:rsid w:val="006D6931"/>
    <w:rsid w:val="00711B57"/>
    <w:rsid w:val="00724634"/>
    <w:rsid w:val="00725B8D"/>
    <w:rsid w:val="00745A27"/>
    <w:rsid w:val="00791A21"/>
    <w:rsid w:val="0079372A"/>
    <w:rsid w:val="007C6C83"/>
    <w:rsid w:val="007E1652"/>
    <w:rsid w:val="007E6C4D"/>
    <w:rsid w:val="007E7A78"/>
    <w:rsid w:val="007F0FD4"/>
    <w:rsid w:val="007F5CDD"/>
    <w:rsid w:val="008024CF"/>
    <w:rsid w:val="0082368D"/>
    <w:rsid w:val="00826371"/>
    <w:rsid w:val="00827B8A"/>
    <w:rsid w:val="00830C78"/>
    <w:rsid w:val="00835006"/>
    <w:rsid w:val="008366F4"/>
    <w:rsid w:val="0084208B"/>
    <w:rsid w:val="0085257D"/>
    <w:rsid w:val="008525BA"/>
    <w:rsid w:val="00873B21"/>
    <w:rsid w:val="00883F9A"/>
    <w:rsid w:val="00893B71"/>
    <w:rsid w:val="008A53A5"/>
    <w:rsid w:val="008A77C5"/>
    <w:rsid w:val="008B4452"/>
    <w:rsid w:val="008E0FB1"/>
    <w:rsid w:val="008F6824"/>
    <w:rsid w:val="00914DB6"/>
    <w:rsid w:val="009157BB"/>
    <w:rsid w:val="0093110F"/>
    <w:rsid w:val="009456FC"/>
    <w:rsid w:val="009738BB"/>
    <w:rsid w:val="00981F18"/>
    <w:rsid w:val="00991680"/>
    <w:rsid w:val="00991A7B"/>
    <w:rsid w:val="00992829"/>
    <w:rsid w:val="00992DEC"/>
    <w:rsid w:val="009A105D"/>
    <w:rsid w:val="009A5429"/>
    <w:rsid w:val="009A717B"/>
    <w:rsid w:val="009B2284"/>
    <w:rsid w:val="009B2A79"/>
    <w:rsid w:val="009C2A54"/>
    <w:rsid w:val="009C4B08"/>
    <w:rsid w:val="009D122D"/>
    <w:rsid w:val="009E2F4E"/>
    <w:rsid w:val="009E5D82"/>
    <w:rsid w:val="00A15245"/>
    <w:rsid w:val="00A20E61"/>
    <w:rsid w:val="00A24436"/>
    <w:rsid w:val="00A34540"/>
    <w:rsid w:val="00A35D18"/>
    <w:rsid w:val="00A4057E"/>
    <w:rsid w:val="00A43471"/>
    <w:rsid w:val="00A44103"/>
    <w:rsid w:val="00A6532B"/>
    <w:rsid w:val="00A76DA0"/>
    <w:rsid w:val="00A800BA"/>
    <w:rsid w:val="00A804B2"/>
    <w:rsid w:val="00A8106C"/>
    <w:rsid w:val="00A91581"/>
    <w:rsid w:val="00A94021"/>
    <w:rsid w:val="00A95CAD"/>
    <w:rsid w:val="00AC502E"/>
    <w:rsid w:val="00AD382E"/>
    <w:rsid w:val="00AD5A4A"/>
    <w:rsid w:val="00AD7A0D"/>
    <w:rsid w:val="00AE202E"/>
    <w:rsid w:val="00AE725C"/>
    <w:rsid w:val="00B03E33"/>
    <w:rsid w:val="00B161FD"/>
    <w:rsid w:val="00B249B2"/>
    <w:rsid w:val="00B321E6"/>
    <w:rsid w:val="00B407D9"/>
    <w:rsid w:val="00B73B15"/>
    <w:rsid w:val="00B77CDD"/>
    <w:rsid w:val="00B91CC2"/>
    <w:rsid w:val="00B94361"/>
    <w:rsid w:val="00B97AAF"/>
    <w:rsid w:val="00BA1733"/>
    <w:rsid w:val="00BB30EA"/>
    <w:rsid w:val="00BD16C0"/>
    <w:rsid w:val="00BD4ADD"/>
    <w:rsid w:val="00BD5E3E"/>
    <w:rsid w:val="00BF3280"/>
    <w:rsid w:val="00C0469B"/>
    <w:rsid w:val="00C23098"/>
    <w:rsid w:val="00C26631"/>
    <w:rsid w:val="00C37B79"/>
    <w:rsid w:val="00C40551"/>
    <w:rsid w:val="00C428F0"/>
    <w:rsid w:val="00C61007"/>
    <w:rsid w:val="00C6403E"/>
    <w:rsid w:val="00C6579A"/>
    <w:rsid w:val="00C665F2"/>
    <w:rsid w:val="00C72DD6"/>
    <w:rsid w:val="00C859A6"/>
    <w:rsid w:val="00C869E1"/>
    <w:rsid w:val="00C95D58"/>
    <w:rsid w:val="00CA3970"/>
    <w:rsid w:val="00CC4092"/>
    <w:rsid w:val="00CC413B"/>
    <w:rsid w:val="00CC4411"/>
    <w:rsid w:val="00CD38DB"/>
    <w:rsid w:val="00CD664A"/>
    <w:rsid w:val="00CE4025"/>
    <w:rsid w:val="00CF5F18"/>
    <w:rsid w:val="00CF7E9F"/>
    <w:rsid w:val="00D03622"/>
    <w:rsid w:val="00D254C9"/>
    <w:rsid w:val="00D264CA"/>
    <w:rsid w:val="00D3224B"/>
    <w:rsid w:val="00D42E82"/>
    <w:rsid w:val="00D50288"/>
    <w:rsid w:val="00D563BE"/>
    <w:rsid w:val="00D56720"/>
    <w:rsid w:val="00D605CF"/>
    <w:rsid w:val="00D60BED"/>
    <w:rsid w:val="00D772C3"/>
    <w:rsid w:val="00D80361"/>
    <w:rsid w:val="00D805A5"/>
    <w:rsid w:val="00D84447"/>
    <w:rsid w:val="00D85A32"/>
    <w:rsid w:val="00D96F5B"/>
    <w:rsid w:val="00DA085F"/>
    <w:rsid w:val="00DB66E4"/>
    <w:rsid w:val="00DC3935"/>
    <w:rsid w:val="00DD2D0B"/>
    <w:rsid w:val="00E04E8A"/>
    <w:rsid w:val="00E0520F"/>
    <w:rsid w:val="00E1699C"/>
    <w:rsid w:val="00E17984"/>
    <w:rsid w:val="00E35FCD"/>
    <w:rsid w:val="00E539F9"/>
    <w:rsid w:val="00E559ED"/>
    <w:rsid w:val="00E6414C"/>
    <w:rsid w:val="00E64FB6"/>
    <w:rsid w:val="00E76D2C"/>
    <w:rsid w:val="00E96816"/>
    <w:rsid w:val="00EA5491"/>
    <w:rsid w:val="00EB5D99"/>
    <w:rsid w:val="00EB6109"/>
    <w:rsid w:val="00EC0D03"/>
    <w:rsid w:val="00EC1E4A"/>
    <w:rsid w:val="00EC3442"/>
    <w:rsid w:val="00EC7E5D"/>
    <w:rsid w:val="00ED5160"/>
    <w:rsid w:val="00EE3D57"/>
    <w:rsid w:val="00EE792A"/>
    <w:rsid w:val="00EF6A5F"/>
    <w:rsid w:val="00F021CD"/>
    <w:rsid w:val="00F02EED"/>
    <w:rsid w:val="00F07A9E"/>
    <w:rsid w:val="00F16FC9"/>
    <w:rsid w:val="00F20578"/>
    <w:rsid w:val="00F23BF1"/>
    <w:rsid w:val="00F2573F"/>
    <w:rsid w:val="00F31690"/>
    <w:rsid w:val="00F32CCB"/>
    <w:rsid w:val="00F45E12"/>
    <w:rsid w:val="00F549E8"/>
    <w:rsid w:val="00F71781"/>
    <w:rsid w:val="00F83FAA"/>
    <w:rsid w:val="00F85BA6"/>
    <w:rsid w:val="00F95E5F"/>
    <w:rsid w:val="00FC04FF"/>
    <w:rsid w:val="00FC2903"/>
    <w:rsid w:val="00FC3FE2"/>
    <w:rsid w:val="00FC4779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4CEC6"/>
  <w15:chartTrackingRefBased/>
  <w15:docId w15:val="{15F98BF1-95EE-4296-8E3D-D28A5666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411"/>
    <w:pPr>
      <w:keepNext/>
      <w:keepLines/>
      <w:spacing w:before="360" w:after="80"/>
      <w:outlineLvl w:val="0"/>
    </w:pPr>
    <w:rPr>
      <w:rFonts w:eastAsiaTheme="majorEastAsia" w:cstheme="majorBidi"/>
      <w:b/>
      <w:bCs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11"/>
    <w:pPr>
      <w:keepNext/>
      <w:keepLines/>
      <w:spacing w:before="160" w:after="80"/>
      <w:outlineLvl w:val="1"/>
    </w:pPr>
    <w:rPr>
      <w:rFonts w:eastAsiaTheme="majorEastAsia" w:cs="Times New Roman"/>
      <w:b/>
      <w:bCs/>
      <w:color w:val="000000" w:themeColor="tex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C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C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C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C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C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C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C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411"/>
    <w:rPr>
      <w:rFonts w:eastAsiaTheme="majorEastAsia" w:cstheme="majorBidi"/>
      <w:b/>
      <w:bCs/>
      <w:color w:val="000000" w:themeColor="text1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4411"/>
    <w:rPr>
      <w:rFonts w:eastAsiaTheme="majorEastAsia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C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C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C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C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C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C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C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2C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C3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E7A7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1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FE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2FE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B6109"/>
    <w:rPr>
      <w:color w:val="96607D" w:themeColor="followedHyperlink"/>
      <w:u w:val="single"/>
    </w:rPr>
  </w:style>
  <w:style w:type="paragraph" w:styleId="NoSpacing">
    <w:name w:val="No Spacing"/>
    <w:uiPriority w:val="1"/>
    <w:qFormat/>
    <w:rsid w:val="005565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industrial-modularization-five-solution-elements-version-1-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industrial-modularization-five-solution-elements-version-1-1" TargetMode="External"/><Relationship Id="rId12" Type="http://schemas.openxmlformats.org/officeDocument/2006/relationships/hyperlink" Target="https://www.construction-institute.org/industrial-modularization-five-solution-elements-version-1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truction-institute.org/industrial-modularization-five-solution-elements-version-1-1" TargetMode="External"/><Relationship Id="rId11" Type="http://schemas.openxmlformats.org/officeDocument/2006/relationships/hyperlink" Target="https://www.construction-institute.org/industrial-modularization-how-to-optimize-how-to-maximize-e3e8d8f9b5f19c2790438959b1e075b3" TargetMode="External"/><Relationship Id="rId5" Type="http://schemas.openxmlformats.org/officeDocument/2006/relationships/hyperlink" Target="https://www.construction-institute.org/industrial-modularization-how-to-optimize-how-to-maximize-e3e8d8f9b5f19c2790438959b1e075b3" TargetMode="External"/><Relationship Id="rId10" Type="http://schemas.openxmlformats.org/officeDocument/2006/relationships/hyperlink" Target="https://www.construction-institute.org/industrial-modularization-how-to-optimize-how-to-maximize-e3e8d8f9b5f19c2790438959b1e075b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truction-institute.org/industrial-modularization-five-solution-elements-version-1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1233</Words>
  <Characters>8189</Characters>
  <Application>Microsoft Office Word</Application>
  <DocSecurity>0</DocSecurity>
  <Lines>146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Pedraza</dc:creator>
  <cp:keywords/>
  <dc:description/>
  <cp:lastModifiedBy>Gongfan Chen</cp:lastModifiedBy>
  <cp:revision>104</cp:revision>
  <cp:lastPrinted>2024-11-05T15:53:00Z</cp:lastPrinted>
  <dcterms:created xsi:type="dcterms:W3CDTF">2025-02-23T22:57:00Z</dcterms:created>
  <dcterms:modified xsi:type="dcterms:W3CDTF">2025-03-07T16:11:00Z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28b713ffeafef5c61c6de1dcd7456918809b6ac79fbedbff279c9c8d34120e9c</vt:lpwstr>
  </property>
</Properties>
</file>